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9ECB3">
      <w:pPr>
        <w:spacing w:line="1200" w:lineRule="auto"/>
        <w:jc w:val="center"/>
      </w:pPr>
    </w:p>
    <w:p w14:paraId="3C181F8B">
      <w:pPr>
        <w:spacing w:line="1200" w:lineRule="auto"/>
        <w:jc w:val="center"/>
      </w:pPr>
    </w:p>
    <w:p w14:paraId="2FE08742">
      <w:pPr>
        <w:spacing w:line="1200" w:lineRule="auto"/>
        <w:jc w:val="center"/>
      </w:pPr>
    </w:p>
    <w:p w14:paraId="4361D668">
      <w:pPr>
        <w:spacing w:line="1000" w:lineRule="exact"/>
        <w:jc w:val="center"/>
      </w:pPr>
      <w:r>
        <w:rPr>
          <w:rFonts w:ascii="黑体" w:hAnsi="黑体" w:eastAsia="黑体" w:cs="黑体"/>
          <w:color w:val="000000"/>
          <w:sz w:val="72"/>
        </w:rPr>
        <w:t>百色起义纪念馆</w:t>
      </w:r>
    </w:p>
    <w:p w14:paraId="7BA0965A">
      <w:pPr>
        <w:spacing w:line="1000" w:lineRule="exact"/>
        <w:jc w:val="center"/>
      </w:pPr>
      <w:r>
        <w:rPr>
          <w:rFonts w:ascii="黑体" w:hAnsi="黑体" w:eastAsia="黑体" w:cs="黑体"/>
          <w:color w:val="000000"/>
          <w:sz w:val="72"/>
        </w:rPr>
        <w:t>2025年度部门决算</w:t>
      </w:r>
    </w:p>
    <w:p w14:paraId="6E283388">
      <w:pPr>
        <w:pageBreakBefore/>
        <w:spacing w:line="800" w:lineRule="exact"/>
        <w:jc w:val="center"/>
      </w:pPr>
      <w:r>
        <w:rPr>
          <w:rFonts w:ascii="方正小标宋_GBK" w:hAnsi="方正小标宋_GBK" w:eastAsia="方正小标宋_GBK" w:cs="方正小标宋_GBK"/>
          <w:color w:val="000000"/>
          <w:sz w:val="44"/>
        </w:rPr>
        <w:t>目   录</w:t>
      </w:r>
    </w:p>
    <w:p w14:paraId="6EBE6C6D">
      <w:pPr>
        <w:spacing w:line="800" w:lineRule="exact"/>
        <w:jc w:val="center"/>
      </w:pPr>
    </w:p>
    <w:p w14:paraId="4327A12A">
      <w:pPr>
        <w:spacing w:line="560" w:lineRule="exact"/>
        <w:ind w:firstLine="364" w:firstLineChars="114"/>
        <w:jc w:val="left"/>
      </w:pPr>
      <w:r>
        <w:rPr>
          <w:rFonts w:ascii="黑体" w:hAnsi="黑体" w:eastAsia="黑体" w:cs="黑体"/>
          <w:color w:val="000000"/>
          <w:sz w:val="32"/>
        </w:rPr>
        <w:t>第一部分：百色起义纪念馆概况</w:t>
      </w:r>
    </w:p>
    <w:p w14:paraId="04BBB0DB">
      <w:pPr>
        <w:spacing w:line="560" w:lineRule="exact"/>
        <w:ind w:firstLine="364" w:firstLineChars="114"/>
        <w:jc w:val="left"/>
      </w:pPr>
      <w:r>
        <w:rPr>
          <w:rFonts w:ascii="仿宋_GB2312" w:hAnsi="仿宋_GB2312" w:eastAsia="仿宋_GB2312" w:cs="仿宋_GB2312"/>
          <w:color w:val="000000"/>
          <w:sz w:val="32"/>
        </w:rPr>
        <w:t>一、本部门职责</w:t>
      </w:r>
    </w:p>
    <w:p w14:paraId="2E291F26">
      <w:pPr>
        <w:spacing w:line="560" w:lineRule="exact"/>
        <w:ind w:firstLine="364" w:firstLineChars="114"/>
        <w:jc w:val="left"/>
      </w:pPr>
      <w:r>
        <w:rPr>
          <w:rFonts w:ascii="仿宋_GB2312" w:hAnsi="仿宋_GB2312" w:eastAsia="仿宋_GB2312" w:cs="仿宋_GB2312"/>
          <w:color w:val="000000"/>
          <w:sz w:val="32"/>
        </w:rPr>
        <w:t>二、机构设置情况</w:t>
      </w:r>
    </w:p>
    <w:p w14:paraId="37B2D422">
      <w:pPr>
        <w:spacing w:line="560" w:lineRule="exact"/>
        <w:ind w:firstLine="364" w:firstLineChars="114"/>
        <w:jc w:val="left"/>
      </w:pPr>
      <w:r>
        <w:rPr>
          <w:rFonts w:ascii="黑体" w:hAnsi="黑体" w:eastAsia="黑体" w:cs="黑体"/>
          <w:color w:val="000000"/>
          <w:sz w:val="32"/>
        </w:rPr>
        <w:t>第二部分：百色起义纪念馆2025年度部门决算报表</w:t>
      </w:r>
    </w:p>
    <w:p w14:paraId="3F46D19F">
      <w:pPr>
        <w:spacing w:line="560" w:lineRule="exact"/>
        <w:ind w:firstLine="364" w:firstLineChars="114"/>
        <w:jc w:val="left"/>
      </w:pPr>
      <w:r>
        <w:rPr>
          <w:rFonts w:ascii="仿宋_GB2312" w:hAnsi="仿宋_GB2312" w:eastAsia="仿宋_GB2312" w:cs="仿宋_GB2312"/>
          <w:color w:val="000000"/>
          <w:sz w:val="32"/>
        </w:rPr>
        <w:t>表一：收入支出决算总表</w:t>
      </w:r>
    </w:p>
    <w:p w14:paraId="61D147CD">
      <w:pPr>
        <w:spacing w:line="560" w:lineRule="exact"/>
        <w:ind w:firstLine="364" w:firstLineChars="114"/>
        <w:jc w:val="left"/>
      </w:pPr>
      <w:r>
        <w:rPr>
          <w:rFonts w:ascii="仿宋_GB2312" w:hAnsi="仿宋_GB2312" w:eastAsia="仿宋_GB2312" w:cs="仿宋_GB2312"/>
          <w:color w:val="000000"/>
          <w:sz w:val="32"/>
        </w:rPr>
        <w:t>表二：收入决算表</w:t>
      </w:r>
    </w:p>
    <w:p w14:paraId="412EF424">
      <w:pPr>
        <w:spacing w:line="560" w:lineRule="exact"/>
        <w:ind w:firstLine="364" w:firstLineChars="114"/>
        <w:jc w:val="left"/>
      </w:pPr>
      <w:r>
        <w:rPr>
          <w:rFonts w:ascii="仿宋_GB2312" w:hAnsi="仿宋_GB2312" w:eastAsia="仿宋_GB2312" w:cs="仿宋_GB2312"/>
          <w:color w:val="000000"/>
          <w:sz w:val="32"/>
        </w:rPr>
        <w:t>表三：支出决算表</w:t>
      </w:r>
    </w:p>
    <w:p w14:paraId="0D086D4B">
      <w:pPr>
        <w:spacing w:line="560" w:lineRule="exact"/>
        <w:ind w:firstLine="364" w:firstLineChars="114"/>
        <w:jc w:val="left"/>
      </w:pPr>
      <w:r>
        <w:rPr>
          <w:rFonts w:ascii="仿宋_GB2312" w:hAnsi="仿宋_GB2312" w:eastAsia="仿宋_GB2312" w:cs="仿宋_GB2312"/>
          <w:color w:val="000000"/>
          <w:sz w:val="32"/>
        </w:rPr>
        <w:t>表四：财政拨款收入支出决算总表</w:t>
      </w:r>
    </w:p>
    <w:p w14:paraId="0519F89C">
      <w:pPr>
        <w:spacing w:line="560" w:lineRule="exact"/>
        <w:ind w:firstLine="364" w:firstLineChars="114"/>
        <w:jc w:val="left"/>
      </w:pPr>
      <w:r>
        <w:rPr>
          <w:rFonts w:ascii="仿宋_GB2312" w:hAnsi="仿宋_GB2312" w:eastAsia="仿宋_GB2312" w:cs="仿宋_GB2312"/>
          <w:color w:val="000000"/>
          <w:sz w:val="32"/>
        </w:rPr>
        <w:t>表五：一般公共预算财政拨款支出决算表</w:t>
      </w:r>
    </w:p>
    <w:p w14:paraId="2147703F">
      <w:pPr>
        <w:spacing w:line="560" w:lineRule="exact"/>
        <w:ind w:firstLine="364" w:firstLineChars="114"/>
        <w:jc w:val="left"/>
      </w:pPr>
      <w:r>
        <w:rPr>
          <w:rFonts w:ascii="仿宋_GB2312" w:hAnsi="仿宋_GB2312" w:eastAsia="仿宋_GB2312" w:cs="仿宋_GB2312"/>
          <w:color w:val="000000"/>
          <w:sz w:val="32"/>
        </w:rPr>
        <w:t>表六：一般公共预算财政拨款基本支出决算明细表</w:t>
      </w:r>
    </w:p>
    <w:p w14:paraId="0DF1C4C7">
      <w:pPr>
        <w:spacing w:line="560" w:lineRule="exact"/>
        <w:ind w:firstLine="364" w:firstLineChars="114"/>
        <w:jc w:val="left"/>
      </w:pPr>
      <w:r>
        <w:rPr>
          <w:rFonts w:ascii="仿宋_GB2312" w:hAnsi="仿宋_GB2312" w:eastAsia="仿宋_GB2312" w:cs="仿宋_GB2312"/>
          <w:color w:val="000000"/>
          <w:sz w:val="32"/>
        </w:rPr>
        <w:t>表七：政府性基金预算财政拨款收入支出决算表</w:t>
      </w:r>
    </w:p>
    <w:p w14:paraId="246BC571">
      <w:pPr>
        <w:spacing w:line="560" w:lineRule="exact"/>
        <w:ind w:firstLine="364" w:firstLineChars="114"/>
        <w:jc w:val="left"/>
      </w:pPr>
      <w:r>
        <w:rPr>
          <w:rFonts w:ascii="仿宋_GB2312" w:hAnsi="仿宋_GB2312" w:eastAsia="仿宋_GB2312" w:cs="仿宋_GB2312"/>
          <w:color w:val="000000"/>
          <w:sz w:val="32"/>
        </w:rPr>
        <w:t>表八：国有资本经营预算财政拨款支出决算表</w:t>
      </w:r>
    </w:p>
    <w:p w14:paraId="3A019A95">
      <w:pPr>
        <w:spacing w:line="560" w:lineRule="exact"/>
        <w:ind w:firstLine="364" w:firstLineChars="114"/>
        <w:jc w:val="left"/>
      </w:pPr>
      <w:r>
        <w:rPr>
          <w:rFonts w:ascii="仿宋_GB2312" w:hAnsi="仿宋_GB2312" w:eastAsia="仿宋_GB2312" w:cs="仿宋_GB2312"/>
          <w:color w:val="000000"/>
          <w:sz w:val="32"/>
        </w:rPr>
        <w:t>表九：财政拨款“三公”经费支出决算表</w:t>
      </w:r>
    </w:p>
    <w:p w14:paraId="2FE3C1C6">
      <w:pPr>
        <w:spacing w:line="560" w:lineRule="exact"/>
        <w:ind w:firstLine="364" w:firstLineChars="114"/>
        <w:jc w:val="left"/>
      </w:pPr>
      <w:r>
        <w:rPr>
          <w:rFonts w:ascii="黑体" w:hAnsi="黑体" w:eastAsia="黑体" w:cs="黑体"/>
          <w:color w:val="000000"/>
          <w:sz w:val="32"/>
        </w:rPr>
        <w:t>第三部分：百色起义纪念馆2025年度部门决算情况说明</w:t>
      </w:r>
    </w:p>
    <w:p w14:paraId="58395100">
      <w:pPr>
        <w:spacing w:line="560" w:lineRule="exact"/>
        <w:ind w:firstLine="364" w:firstLineChars="114"/>
        <w:jc w:val="left"/>
      </w:pPr>
      <w:r>
        <w:rPr>
          <w:rFonts w:ascii="仿宋_GB2312" w:hAnsi="仿宋_GB2312" w:eastAsia="仿宋_GB2312" w:cs="仿宋_GB2312"/>
          <w:color w:val="000000"/>
          <w:sz w:val="32"/>
        </w:rPr>
        <w:t>一、2025年度收入支出决算总体情况。</w:t>
      </w:r>
    </w:p>
    <w:p w14:paraId="638B6DDB">
      <w:pPr>
        <w:spacing w:line="560" w:lineRule="exact"/>
        <w:ind w:firstLine="364" w:firstLineChars="114"/>
        <w:jc w:val="left"/>
      </w:pPr>
      <w:r>
        <w:rPr>
          <w:rFonts w:ascii="仿宋_GB2312" w:hAnsi="仿宋_GB2312" w:eastAsia="仿宋_GB2312" w:cs="仿宋_GB2312"/>
          <w:color w:val="000000"/>
          <w:sz w:val="32"/>
        </w:rPr>
        <w:t>二、2025年度一般公共预算财政拨款支出决算情况。</w:t>
      </w:r>
    </w:p>
    <w:p w14:paraId="005D3184">
      <w:pPr>
        <w:spacing w:line="560" w:lineRule="exact"/>
        <w:ind w:firstLine="364" w:firstLineChars="114"/>
        <w:jc w:val="left"/>
      </w:pPr>
      <w:r>
        <w:rPr>
          <w:rFonts w:ascii="仿宋_GB2312" w:hAnsi="仿宋_GB2312" w:eastAsia="仿宋_GB2312" w:cs="仿宋_GB2312"/>
          <w:color w:val="000000"/>
          <w:sz w:val="32"/>
        </w:rPr>
        <w:t>三、2025年度一般公共预算财政拨款基本支出决算情况说明。</w:t>
      </w:r>
    </w:p>
    <w:p w14:paraId="79E5EF13">
      <w:pPr>
        <w:spacing w:line="560" w:lineRule="exact"/>
        <w:ind w:firstLine="364" w:firstLineChars="114"/>
        <w:jc w:val="left"/>
      </w:pPr>
      <w:r>
        <w:rPr>
          <w:rFonts w:ascii="仿宋_GB2312" w:hAnsi="仿宋_GB2312" w:eastAsia="仿宋_GB2312" w:cs="仿宋_GB2312"/>
          <w:color w:val="000000"/>
          <w:sz w:val="32"/>
        </w:rPr>
        <w:t>四、2025年度政府性基金支出决算情况。</w:t>
      </w:r>
    </w:p>
    <w:p w14:paraId="1FC9D50F">
      <w:pPr>
        <w:spacing w:line="560" w:lineRule="exact"/>
        <w:ind w:firstLine="364" w:firstLineChars="114"/>
        <w:jc w:val="left"/>
      </w:pPr>
      <w:r>
        <w:rPr>
          <w:rFonts w:ascii="仿宋_GB2312" w:hAnsi="仿宋_GB2312" w:eastAsia="仿宋_GB2312" w:cs="仿宋_GB2312"/>
          <w:color w:val="000000"/>
          <w:sz w:val="32"/>
        </w:rPr>
        <w:t>五、2025年度国有资本经营预算支出决算情况。</w:t>
      </w:r>
    </w:p>
    <w:p w14:paraId="1D417627">
      <w:pPr>
        <w:spacing w:line="560" w:lineRule="exact"/>
        <w:ind w:firstLine="364" w:firstLineChars="114"/>
        <w:jc w:val="left"/>
      </w:pPr>
      <w:r>
        <w:rPr>
          <w:rFonts w:ascii="仿宋_GB2312" w:hAnsi="仿宋_GB2312" w:eastAsia="仿宋_GB2312" w:cs="仿宋_GB2312"/>
          <w:color w:val="000000"/>
          <w:sz w:val="32"/>
        </w:rPr>
        <w:t>六、财政拨款安排的“三公”经费支出决算情况说明。</w:t>
      </w:r>
    </w:p>
    <w:p w14:paraId="055AE247">
      <w:pPr>
        <w:spacing w:line="560" w:lineRule="exact"/>
        <w:ind w:firstLine="364" w:firstLineChars="114"/>
        <w:jc w:val="left"/>
      </w:pPr>
      <w:r>
        <w:rPr>
          <w:rFonts w:ascii="仿宋_GB2312" w:hAnsi="仿宋_GB2312" w:eastAsia="仿宋_GB2312" w:cs="仿宋_GB2312"/>
          <w:color w:val="000000"/>
          <w:sz w:val="32"/>
        </w:rPr>
        <w:t>七、其他重要事项情况说明。</w:t>
      </w:r>
    </w:p>
    <w:p w14:paraId="2175C14B">
      <w:pPr>
        <w:spacing w:line="560" w:lineRule="exact"/>
        <w:ind w:firstLine="364" w:firstLineChars="114"/>
        <w:jc w:val="left"/>
      </w:pPr>
      <w:r>
        <w:rPr>
          <w:rFonts w:ascii="仿宋_GB2312" w:hAnsi="仿宋_GB2312" w:eastAsia="仿宋_GB2312" w:cs="仿宋_GB2312"/>
          <w:color w:val="000000"/>
          <w:sz w:val="32"/>
        </w:rPr>
        <w:t>八、预算绩效管理工作开展情况。</w:t>
      </w:r>
    </w:p>
    <w:p w14:paraId="6D91148B">
      <w:pPr>
        <w:spacing w:line="560" w:lineRule="exact"/>
        <w:ind w:firstLine="364" w:firstLineChars="114"/>
        <w:jc w:val="left"/>
      </w:pPr>
      <w:r>
        <w:rPr>
          <w:rFonts w:ascii="黑体" w:hAnsi="黑体" w:eastAsia="黑体" w:cs="黑体"/>
          <w:color w:val="000000"/>
          <w:sz w:val="32"/>
        </w:rPr>
        <w:t>第四部分：名词解释</w:t>
      </w:r>
    </w:p>
    <w:p w14:paraId="0102417B">
      <w:pPr>
        <w:pageBreakBefore/>
        <w:spacing w:line="560" w:lineRule="exact"/>
        <w:jc w:val="center"/>
      </w:pPr>
      <w:r>
        <w:rPr>
          <w:rFonts w:ascii="黑体" w:hAnsi="黑体" w:eastAsia="黑体" w:cs="黑体"/>
          <w:color w:val="000000"/>
          <w:sz w:val="32"/>
        </w:rPr>
        <w:t>第一部分：百色起义纪念馆 概况</w:t>
      </w:r>
    </w:p>
    <w:p w14:paraId="357903B8">
      <w:pPr>
        <w:spacing w:line="560" w:lineRule="exact"/>
        <w:ind w:firstLine="364" w:firstLineChars="114"/>
        <w:jc w:val="left"/>
      </w:pPr>
      <w:r>
        <w:rPr>
          <w:rFonts w:ascii="黑体" w:hAnsi="黑体" w:eastAsia="黑体" w:cs="黑体"/>
          <w:color w:val="000000"/>
          <w:sz w:val="32"/>
        </w:rPr>
        <w:t>一、本部门职责</w:t>
      </w:r>
    </w:p>
    <w:p w14:paraId="309D21D3">
      <w:pPr>
        <w:spacing w:line="560" w:lineRule="exact"/>
        <w:ind w:firstLine="640" w:firstLineChars="200"/>
        <w:jc w:val="both"/>
      </w:pPr>
      <w:r>
        <w:rPr>
          <w:rFonts w:ascii="仿宋_GB2312" w:hAnsi="仿宋_GB2312" w:eastAsia="仿宋_GB2312" w:cs="仿宋_GB2312"/>
          <w:color w:val="000000" w:themeColor="text1"/>
          <w:sz w:val="32"/>
          <w14:textFill>
            <w14:solidFill>
              <w14:schemeClr w14:val="tx1"/>
            </w14:solidFill>
          </w14:textFill>
        </w:rPr>
        <w:t>百色起义纪念馆主要职责：负责百色起义纪念馆、百色全国廉政教育基地、</w:t>
      </w:r>
      <w:r>
        <w:rPr>
          <w:rFonts w:hint="eastAsia" w:ascii="方正仿宋_GB2312" w:hAnsi="方正仿宋_GB2312" w:eastAsia="方正仿宋_GB2312" w:cs="方正仿宋_GB2312"/>
          <w:color w:val="000000" w:themeColor="text1"/>
          <w:sz w:val="32"/>
          <w:szCs w:val="32"/>
          <w14:textFill>
            <w14:solidFill>
              <w14:schemeClr w14:val="tx1"/>
            </w14:solidFill>
          </w14:textFill>
        </w:rPr>
        <w:t>百色脱贫攻坚展示馆</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黄文秀先进事迹展</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14:textFill>
            <w14:solidFill>
              <w14:schemeClr w14:val="tx1"/>
            </w14:solidFill>
          </w14:textFill>
        </w:rPr>
        <w:t>南阁亭</w:t>
      </w:r>
      <w:r>
        <w:rPr>
          <w:rFonts w:ascii="仿宋_GB2312" w:hAnsi="仿宋_GB2312" w:eastAsia="仿宋_GB2312" w:cs="仿宋_GB2312"/>
          <w:color w:val="000000" w:themeColor="text1"/>
          <w:sz w:val="32"/>
          <w14:textFill>
            <w14:solidFill>
              <w14:schemeClr w14:val="tx1"/>
            </w14:solidFill>
          </w14:textFill>
        </w:rPr>
        <w:t>及其附属设施的日常管理工作。</w:t>
      </w:r>
      <w:r>
        <w:rPr>
          <w:rFonts w:ascii="仿宋_GB2312" w:hAnsi="仿宋_GB2312" w:eastAsia="仿宋_GB2312" w:cs="仿宋_GB2312"/>
          <w:color w:val="000000"/>
          <w:sz w:val="32"/>
        </w:rPr>
        <w:t>负责调查、征集有关百色起义和右江革命史的文物，不断增加馆藏量。负责文物的保管、修复和复制工作，落实防火、防漏、防盗等安全措施，确保库房、展厅的文物安全。根据馆藏文物及有关史料，积极开展百色起义史和右江革命史的研究工作，不断充实陈列内容，提高纪念馆的影响力。做好观众接待工作，动用革命历史文物、史料进行爱国主义和革命传统教育。</w:t>
      </w:r>
    </w:p>
    <w:p w14:paraId="554485E9">
      <w:pPr>
        <w:spacing w:line="560" w:lineRule="exact"/>
        <w:ind w:firstLine="239" w:firstLineChars="114"/>
        <w:jc w:val="left"/>
      </w:pPr>
    </w:p>
    <w:p w14:paraId="0A3B04EA">
      <w:pPr>
        <w:spacing w:line="560" w:lineRule="exact"/>
        <w:ind w:firstLine="364" w:firstLineChars="114"/>
        <w:jc w:val="left"/>
      </w:pPr>
      <w:r>
        <w:rPr>
          <w:rFonts w:ascii="黑体" w:hAnsi="黑体" w:eastAsia="黑体" w:cs="黑体"/>
          <w:color w:val="000000"/>
          <w:sz w:val="32"/>
        </w:rPr>
        <w:t>二、机构设置情况</w:t>
      </w:r>
    </w:p>
    <w:p w14:paraId="45BE95E7">
      <w:pPr>
        <w:spacing w:line="560" w:lineRule="exact"/>
        <w:ind w:firstLine="640" w:firstLineChars="200"/>
        <w:jc w:val="both"/>
        <w:rPr>
          <w:color w:val="auto"/>
        </w:rPr>
      </w:pPr>
      <w:r>
        <w:rPr>
          <w:rFonts w:ascii="仿宋_GB2312" w:hAnsi="仿宋_GB2312" w:eastAsia="仿宋_GB2312" w:cs="仿宋_GB2312"/>
          <w:color w:val="auto"/>
          <w:sz w:val="32"/>
        </w:rPr>
        <w:t>百色起义纪念馆为百色起义纪念园管理中心下属</w:t>
      </w:r>
      <w:r>
        <w:rPr>
          <w:rFonts w:hint="eastAsia" w:ascii="仿宋_GB2312" w:hAnsi="仿宋_GB2312" w:eastAsia="仿宋_GB2312" w:cs="仿宋_GB2312"/>
          <w:color w:val="auto"/>
          <w:sz w:val="32"/>
          <w:lang w:eastAsia="zh-CN"/>
        </w:rPr>
        <w:t>公益一类</w:t>
      </w:r>
      <w:r>
        <w:rPr>
          <w:rFonts w:ascii="仿宋_GB2312" w:hAnsi="仿宋_GB2312" w:eastAsia="仿宋_GB2312" w:cs="仿宋_GB2312"/>
          <w:color w:val="auto"/>
          <w:sz w:val="32"/>
        </w:rPr>
        <w:t>副处级事业单位。内设6个科室，即：办公室、陈列展览研究科、社会宣传教育科、文物保护和保管科、环境管理和保卫科、廉政教育基地</w:t>
      </w:r>
      <w:r>
        <w:rPr>
          <w:rFonts w:hint="eastAsia" w:ascii="仿宋_GB2312" w:hAnsi="仿宋_GB2312" w:eastAsia="仿宋_GB2312" w:cs="仿宋_GB2312"/>
          <w:color w:val="auto"/>
          <w:sz w:val="32"/>
          <w:lang w:eastAsia="zh-CN"/>
        </w:rPr>
        <w:t>管理</w:t>
      </w:r>
      <w:r>
        <w:rPr>
          <w:rFonts w:ascii="仿宋_GB2312" w:hAnsi="仿宋_GB2312" w:eastAsia="仿宋_GB2312" w:cs="仿宋_GB2312"/>
          <w:color w:val="auto"/>
          <w:sz w:val="32"/>
        </w:rPr>
        <w:t>科，均</w:t>
      </w:r>
      <w:r>
        <w:rPr>
          <w:rFonts w:hint="eastAsia" w:ascii="仿宋_GB2312" w:hAnsi="仿宋_GB2312" w:eastAsia="仿宋_GB2312" w:cs="仿宋_GB2312"/>
          <w:color w:val="auto"/>
          <w:sz w:val="32"/>
          <w:lang w:eastAsia="zh-CN"/>
        </w:rPr>
        <w:t>相当于</w:t>
      </w:r>
      <w:r>
        <w:rPr>
          <w:rFonts w:ascii="仿宋_GB2312" w:hAnsi="仿宋_GB2312" w:eastAsia="仿宋_GB2312" w:cs="仿宋_GB2312"/>
          <w:color w:val="auto"/>
          <w:sz w:val="32"/>
        </w:rPr>
        <w:t>科级建制。</w:t>
      </w:r>
      <w:bookmarkStart w:id="0" w:name="_GoBack"/>
      <w:bookmarkEnd w:id="0"/>
    </w:p>
    <w:p w14:paraId="7B7C799A">
      <w:pPr>
        <w:pageBreakBefore/>
        <w:spacing w:line="560" w:lineRule="exact"/>
        <w:jc w:val="center"/>
      </w:pPr>
      <w:r>
        <w:rPr>
          <w:rFonts w:ascii="黑体" w:hAnsi="黑体" w:eastAsia="黑体" w:cs="黑体"/>
          <w:color w:val="000000"/>
          <w:sz w:val="32"/>
        </w:rPr>
        <w:t>第二部分：百色起义纪念馆2025年度部门决算报表</w:t>
      </w:r>
    </w:p>
    <w:p w14:paraId="2EB069A9">
      <w:pPr>
        <w:spacing w:line="560" w:lineRule="exact"/>
        <w:ind w:firstLine="640" w:firstLineChars="200"/>
        <w:jc w:val="both"/>
      </w:pPr>
      <w:r>
        <w:rPr>
          <w:rFonts w:ascii="仿宋_GB2312" w:hAnsi="仿宋_GB2312" w:eastAsia="仿宋_GB2312" w:cs="仿宋_GB2312"/>
          <w:color w:val="000000"/>
          <w:sz w:val="32"/>
        </w:rPr>
        <w:t>表一：收入支出决算总表</w:t>
      </w:r>
    </w:p>
    <w:p w14:paraId="1F1A8AD7">
      <w:pPr>
        <w:spacing w:line="560" w:lineRule="exact"/>
        <w:ind w:firstLine="640" w:firstLineChars="200"/>
        <w:jc w:val="both"/>
      </w:pPr>
      <w:r>
        <w:rPr>
          <w:rFonts w:ascii="仿宋_GB2312" w:hAnsi="仿宋_GB2312" w:eastAsia="仿宋_GB2312" w:cs="仿宋_GB2312"/>
          <w:color w:val="000000"/>
          <w:sz w:val="32"/>
        </w:rPr>
        <w:t>表二：收入决算表</w:t>
      </w:r>
    </w:p>
    <w:p w14:paraId="45A2008D">
      <w:pPr>
        <w:spacing w:line="560" w:lineRule="exact"/>
        <w:ind w:firstLine="640" w:firstLineChars="200"/>
        <w:jc w:val="both"/>
      </w:pPr>
      <w:r>
        <w:rPr>
          <w:rFonts w:ascii="仿宋_GB2312" w:hAnsi="仿宋_GB2312" w:eastAsia="仿宋_GB2312" w:cs="仿宋_GB2312"/>
          <w:color w:val="000000"/>
          <w:sz w:val="32"/>
        </w:rPr>
        <w:t>表三：支出决算表</w:t>
      </w:r>
    </w:p>
    <w:p w14:paraId="4B867CEF">
      <w:pPr>
        <w:spacing w:line="560" w:lineRule="exact"/>
        <w:ind w:firstLine="640" w:firstLineChars="200"/>
        <w:jc w:val="both"/>
      </w:pPr>
      <w:r>
        <w:rPr>
          <w:rFonts w:ascii="仿宋_GB2312" w:hAnsi="仿宋_GB2312" w:eastAsia="仿宋_GB2312" w:cs="仿宋_GB2312"/>
          <w:color w:val="000000"/>
          <w:sz w:val="32"/>
        </w:rPr>
        <w:t>表四：财政拨款收入支出决算总表</w:t>
      </w:r>
    </w:p>
    <w:p w14:paraId="1D29AA10">
      <w:pPr>
        <w:spacing w:line="560" w:lineRule="exact"/>
        <w:ind w:firstLine="640" w:firstLineChars="200"/>
        <w:jc w:val="both"/>
      </w:pPr>
      <w:r>
        <w:rPr>
          <w:rFonts w:ascii="仿宋_GB2312" w:hAnsi="仿宋_GB2312" w:eastAsia="仿宋_GB2312" w:cs="仿宋_GB2312"/>
          <w:color w:val="000000"/>
          <w:sz w:val="32"/>
        </w:rPr>
        <w:t>表五：一般公共预算财政拨款支出决算表</w:t>
      </w:r>
    </w:p>
    <w:p w14:paraId="51C9405F">
      <w:pPr>
        <w:spacing w:line="560" w:lineRule="exact"/>
        <w:ind w:firstLine="640" w:firstLineChars="200"/>
        <w:jc w:val="both"/>
      </w:pPr>
      <w:r>
        <w:rPr>
          <w:rFonts w:ascii="仿宋_GB2312" w:hAnsi="仿宋_GB2312" w:eastAsia="仿宋_GB2312" w:cs="仿宋_GB2312"/>
          <w:color w:val="000000"/>
          <w:sz w:val="32"/>
        </w:rPr>
        <w:t>表六：一般公共预算财政拨款基本支出决算明细表</w:t>
      </w:r>
    </w:p>
    <w:p w14:paraId="4003F9EF">
      <w:pPr>
        <w:spacing w:line="560" w:lineRule="exact"/>
        <w:ind w:firstLine="640" w:firstLineChars="200"/>
        <w:jc w:val="both"/>
      </w:pPr>
      <w:r>
        <w:rPr>
          <w:rFonts w:ascii="仿宋_GB2312" w:hAnsi="仿宋_GB2312" w:eastAsia="仿宋_GB2312" w:cs="仿宋_GB2312"/>
          <w:color w:val="000000"/>
          <w:sz w:val="32"/>
        </w:rPr>
        <w:t>表七：政府性基金预算财政拨款收入支出决算表</w:t>
      </w:r>
    </w:p>
    <w:p w14:paraId="33B2893C">
      <w:pPr>
        <w:spacing w:line="560" w:lineRule="exact"/>
        <w:ind w:firstLine="640" w:firstLineChars="200"/>
        <w:jc w:val="both"/>
      </w:pPr>
      <w:r>
        <w:rPr>
          <w:rFonts w:ascii="仿宋_GB2312" w:hAnsi="仿宋_GB2312" w:eastAsia="仿宋_GB2312" w:cs="仿宋_GB2312"/>
          <w:color w:val="000000"/>
          <w:sz w:val="32"/>
        </w:rPr>
        <w:t>表八：国有资本经营预算财政拨款支出决算表</w:t>
      </w:r>
    </w:p>
    <w:p w14:paraId="1C605533">
      <w:pPr>
        <w:spacing w:line="560" w:lineRule="exact"/>
        <w:ind w:firstLine="640" w:firstLineChars="200"/>
        <w:jc w:val="both"/>
      </w:pPr>
      <w:r>
        <w:rPr>
          <w:rFonts w:ascii="仿宋_GB2312" w:hAnsi="仿宋_GB2312" w:eastAsia="仿宋_GB2312" w:cs="仿宋_GB2312"/>
          <w:color w:val="000000"/>
          <w:sz w:val="32"/>
        </w:rPr>
        <w:t>表九：财政拨款“三公”经费支出决算表</w:t>
      </w:r>
    </w:p>
    <w:p w14:paraId="0629EBB2">
      <w:pPr>
        <w:spacing w:line="560" w:lineRule="exact"/>
        <w:ind w:firstLine="640" w:firstLineChars="200"/>
        <w:jc w:val="both"/>
      </w:pPr>
      <w:r>
        <w:rPr>
          <w:rFonts w:ascii="仿宋_GB2312" w:hAnsi="仿宋_GB2312" w:eastAsia="仿宋_GB2312" w:cs="仿宋_GB2312"/>
          <w:color w:val="000000"/>
          <w:sz w:val="32"/>
        </w:rPr>
        <w:t>（上述报表详见附件：百色起义纪念馆2025年度部门决算公开附表）</w:t>
      </w:r>
    </w:p>
    <w:p w14:paraId="41F5BC16">
      <w:pPr>
        <w:pageBreakBefore/>
        <w:spacing w:line="560" w:lineRule="exact"/>
        <w:jc w:val="center"/>
      </w:pPr>
      <w:r>
        <w:rPr>
          <w:rFonts w:ascii="黑体" w:hAnsi="黑体" w:eastAsia="黑体" w:cs="黑体"/>
          <w:color w:val="000000"/>
          <w:sz w:val="32"/>
        </w:rPr>
        <w:t>第三部分：2025年百色起义纪念馆决算情况说明</w:t>
      </w:r>
    </w:p>
    <w:p w14:paraId="7E390FF3">
      <w:pPr>
        <w:spacing w:line="560" w:lineRule="exact"/>
        <w:ind w:firstLine="640" w:firstLineChars="200"/>
        <w:jc w:val="left"/>
      </w:pPr>
      <w:r>
        <w:rPr>
          <w:rFonts w:ascii="黑体" w:hAnsi="黑体" w:eastAsia="黑体" w:cs="黑体"/>
          <w:color w:val="000000"/>
          <w:sz w:val="32"/>
        </w:rPr>
        <w:t>一、2025年度收入支出决算总体情况</w:t>
      </w:r>
    </w:p>
    <w:p w14:paraId="0CCDAEE0">
      <w:pPr>
        <w:spacing w:line="560" w:lineRule="exact"/>
        <w:ind w:firstLine="640" w:firstLineChars="200"/>
        <w:jc w:val="both"/>
      </w:pPr>
      <w:r>
        <w:rPr>
          <w:rFonts w:ascii="仿宋_GB2312" w:hAnsi="仿宋_GB2312" w:eastAsia="仿宋_GB2312" w:cs="仿宋_GB2312"/>
          <w:color w:val="000000"/>
          <w:sz w:val="32"/>
        </w:rPr>
        <w:t>（一）本部门2025年度总收入1,083.33万元，其中本年收入1,075.71万元，较2024年度决算数1,081.87万元，减少6.16万元，下降0.57%。收入具体情况如下：</w:t>
      </w:r>
    </w:p>
    <w:p w14:paraId="6D6C577E">
      <w:pPr>
        <w:spacing w:line="560" w:lineRule="exact"/>
        <w:ind w:firstLine="640" w:firstLineChars="200"/>
        <w:jc w:val="both"/>
      </w:pPr>
      <w:r>
        <w:rPr>
          <w:rFonts w:ascii="仿宋_GB2312" w:hAnsi="仿宋_GB2312" w:eastAsia="仿宋_GB2312" w:cs="仿宋_GB2312"/>
          <w:color w:val="000000"/>
          <w:sz w:val="32"/>
        </w:rPr>
        <w:t>1.一般公共预算财政拨款收入1,074.71万元，为市本级财政当年拨付的资金。较2024年度决算数1,063.81万元，增加10.90万元，增长1.02%，主要原因是年中新增人员并追加相应经费。</w:t>
      </w:r>
    </w:p>
    <w:p w14:paraId="3570C7EA">
      <w:pPr>
        <w:spacing w:line="560" w:lineRule="exact"/>
        <w:ind w:firstLine="640" w:firstLineChars="200"/>
        <w:jc w:val="both"/>
      </w:pPr>
      <w:r>
        <w:rPr>
          <w:rFonts w:ascii="仿宋_GB2312" w:hAnsi="仿宋_GB2312" w:eastAsia="仿宋_GB2312" w:cs="仿宋_GB2312"/>
          <w:color w:val="000000"/>
          <w:sz w:val="32"/>
        </w:rPr>
        <w:t>2.政府性基金预算财政拨款收入0万元，为百色市本级财政当年拨付的资金。较2024年度决算数10.83万元，减少10.83万元，主要原因是本年度无政府性基金预算财政拨款收入。</w:t>
      </w:r>
    </w:p>
    <w:p w14:paraId="76184609">
      <w:pPr>
        <w:spacing w:line="560" w:lineRule="exact"/>
        <w:ind w:firstLine="640" w:firstLineChars="200"/>
        <w:jc w:val="both"/>
      </w:pPr>
      <w:r>
        <w:rPr>
          <w:rFonts w:ascii="仿宋_GB2312" w:hAnsi="仿宋_GB2312" w:eastAsia="仿宋_GB2312" w:cs="仿宋_GB2312"/>
          <w:color w:val="000000"/>
          <w:sz w:val="32"/>
        </w:rPr>
        <w:t>3.国有资本经营预算财政拨款收入0万元，为百色市本级财政当年拨付的资金。与上年持平，主要原因是本部门本年度无该项收入。</w:t>
      </w:r>
    </w:p>
    <w:p w14:paraId="22363176">
      <w:pPr>
        <w:spacing w:line="560" w:lineRule="exact"/>
        <w:ind w:firstLine="640" w:firstLineChars="200"/>
        <w:jc w:val="both"/>
      </w:pPr>
      <w:r>
        <w:rPr>
          <w:rFonts w:ascii="仿宋_GB2312" w:hAnsi="仿宋_GB2312" w:eastAsia="仿宋_GB2312" w:cs="仿宋_GB2312"/>
          <w:color w:val="000000"/>
          <w:sz w:val="32"/>
        </w:rPr>
        <w:t>4.上级补助收入0.00万元，为事业单位当年从主管部门和上级单位收到或应收的非财政拨款收入。与上年持平，主要原因是本部门本年度无该项收入。</w:t>
      </w:r>
    </w:p>
    <w:p w14:paraId="069D518B">
      <w:pPr>
        <w:spacing w:line="560" w:lineRule="exact"/>
        <w:ind w:firstLine="640" w:firstLineChars="200"/>
        <w:jc w:val="both"/>
      </w:pPr>
      <w:r>
        <w:rPr>
          <w:rFonts w:ascii="仿宋_GB2312" w:hAnsi="仿宋_GB2312" w:eastAsia="仿宋_GB2312" w:cs="仿宋_GB2312"/>
          <w:color w:val="000000"/>
          <w:sz w:val="32"/>
        </w:rPr>
        <w:t>5.事业收入0.00万元，为事业单位开展业务活动取得的收入。较2024年度决算数7.07万元，减少7.07万元，主要原因是本单位本年度无该项收入。</w:t>
      </w:r>
    </w:p>
    <w:p w14:paraId="6CC3428C">
      <w:pPr>
        <w:spacing w:line="560" w:lineRule="exact"/>
        <w:ind w:firstLine="640" w:firstLineChars="200"/>
        <w:jc w:val="both"/>
      </w:pPr>
      <w:r>
        <w:rPr>
          <w:rFonts w:ascii="仿宋_GB2312" w:hAnsi="仿宋_GB2312" w:eastAsia="仿宋_GB2312" w:cs="仿宋_GB2312"/>
          <w:color w:val="000000"/>
          <w:sz w:val="32"/>
        </w:rPr>
        <w:t>6.经营收入0.00万元，为事业单位在业务活动之外开展非独立核算经营活动取得的收入。与上年持平，主要原因是本部门本年度无该项收入。</w:t>
      </w:r>
    </w:p>
    <w:p w14:paraId="29F05DAA">
      <w:pPr>
        <w:spacing w:line="560" w:lineRule="exact"/>
        <w:ind w:firstLine="640" w:firstLineChars="200"/>
        <w:jc w:val="both"/>
      </w:pPr>
      <w:r>
        <w:rPr>
          <w:rFonts w:ascii="仿宋_GB2312" w:hAnsi="仿宋_GB2312" w:eastAsia="仿宋_GB2312" w:cs="仿宋_GB2312"/>
          <w:color w:val="000000"/>
          <w:sz w:val="32"/>
        </w:rPr>
        <w:t>7.其他收入1.00万元，为预算单位在“财政拨款收入”“事业收入”“经营收入”之外取得的收入。较2024年度决算数0.15万元，增加0.85万元，增长566.67%，主要原因是收场地出租费。</w:t>
      </w:r>
    </w:p>
    <w:p w14:paraId="6B2929A8">
      <w:pPr>
        <w:spacing w:line="560" w:lineRule="exact"/>
        <w:ind w:firstLine="640" w:firstLineChars="200"/>
        <w:jc w:val="both"/>
      </w:pPr>
      <w:r>
        <w:rPr>
          <w:rFonts w:ascii="仿宋_GB2312" w:hAnsi="仿宋_GB2312" w:eastAsia="仿宋_GB2312" w:cs="仿宋_GB2312"/>
          <w:color w:val="000000"/>
          <w:sz w:val="32"/>
        </w:rPr>
        <w:t>8.使用非财政拨款结余0万元，主要是所属事业单位在当年的“财政拨款收入”“事业收入”“经营收入”及“其他收入”不能保证其支出的情况下，使用以前年度积累的非财政拨款结余弥补本年度收支缺口的资金。与上年持平，主要原因是本部门本年度无使用非财政拨款结余。</w:t>
      </w:r>
    </w:p>
    <w:p w14:paraId="0CCF0080">
      <w:pPr>
        <w:spacing w:line="560" w:lineRule="exact"/>
        <w:ind w:firstLine="640" w:firstLineChars="200"/>
        <w:jc w:val="both"/>
      </w:pPr>
      <w:r>
        <w:rPr>
          <w:rFonts w:ascii="仿宋_GB2312" w:hAnsi="仿宋_GB2312" w:eastAsia="仿宋_GB2312" w:cs="仿宋_GB2312"/>
          <w:color w:val="000000"/>
          <w:sz w:val="32"/>
        </w:rPr>
        <w:t>9.上年结转和结余7.62万元，为以前年度支出预算因客观条件变化未执行完毕、结转到本年度按有关规定继续使用的资金。较2024年度决算数4.02万元，增加3.60万元，增长89.55%，主要原因是历年滚存资金结余。</w:t>
      </w:r>
    </w:p>
    <w:p w14:paraId="5641663C">
      <w:pPr>
        <w:spacing w:line="560" w:lineRule="exact"/>
        <w:ind w:firstLine="640" w:firstLineChars="200"/>
        <w:jc w:val="both"/>
      </w:pPr>
      <w:r>
        <w:rPr>
          <w:rFonts w:ascii="仿宋_GB2312" w:hAnsi="仿宋_GB2312" w:eastAsia="仿宋_GB2312" w:cs="仿宋_GB2312"/>
          <w:color w:val="000000"/>
          <w:sz w:val="32"/>
        </w:rPr>
        <w:t>（二）本部门2025年度总支出1,083.33万元，其中本年支出1,075.82万元，较2024年度决算数1,078.26万元，减少2.44万元，下降0.23%。支出具体情况如下：</w:t>
      </w:r>
    </w:p>
    <w:p w14:paraId="3F993217">
      <w:pPr>
        <w:spacing w:line="560" w:lineRule="exact"/>
        <w:ind w:firstLine="640" w:firstLineChars="200"/>
        <w:jc w:val="both"/>
      </w:pPr>
      <w:r>
        <w:rPr>
          <w:rFonts w:ascii="仿宋_GB2312" w:hAnsi="仿宋_GB2312" w:eastAsia="仿宋_GB2312" w:cs="仿宋_GB2312"/>
          <w:color w:val="000000"/>
          <w:sz w:val="32"/>
        </w:rPr>
        <w:t>1.一般公共服务支出（类)0万元，较2024年度决算数0.21万元，减少0.21万元，主要原因是本单位本年度无此项支出。</w:t>
      </w:r>
    </w:p>
    <w:p w14:paraId="1DE3A4F7">
      <w:pPr>
        <w:spacing w:line="560" w:lineRule="exact"/>
        <w:ind w:firstLine="640" w:firstLineChars="200"/>
        <w:jc w:val="both"/>
      </w:pPr>
      <w:r>
        <w:rPr>
          <w:rFonts w:ascii="仿宋_GB2312" w:hAnsi="仿宋_GB2312" w:eastAsia="仿宋_GB2312" w:cs="仿宋_GB2312"/>
          <w:color w:val="000000"/>
          <w:sz w:val="32"/>
        </w:rPr>
        <w:t>2.文化旅游体育与传媒支出（类)920.85万元，主要用于纪念馆日常运行维护、免费开放及人员工资等支出。较2024年度决算数934.25万元，减少13.40万元，下降1.43%，主要原因是项目支出减少。</w:t>
      </w:r>
    </w:p>
    <w:p w14:paraId="23AA3513">
      <w:pPr>
        <w:spacing w:line="560" w:lineRule="exact"/>
        <w:ind w:firstLine="640" w:firstLineChars="200"/>
        <w:jc w:val="both"/>
      </w:pPr>
      <w:r>
        <w:rPr>
          <w:rFonts w:ascii="仿宋_GB2312" w:hAnsi="仿宋_GB2312" w:eastAsia="仿宋_GB2312" w:cs="仿宋_GB2312"/>
          <w:color w:val="000000"/>
          <w:sz w:val="32"/>
        </w:rPr>
        <w:t>3.社会保障和就业支出（类)102.77万元，主要用于退休人员退休及生活补助和在职人员养老保险的支出。较2024年度决算数80.21万元，增加22.56万元，增长28.13%，主要原因是年中新增人员并追加相应经费。</w:t>
      </w:r>
    </w:p>
    <w:p w14:paraId="1A3BB4B9">
      <w:pPr>
        <w:spacing w:line="560" w:lineRule="exact"/>
        <w:ind w:firstLine="640" w:firstLineChars="200"/>
        <w:jc w:val="both"/>
      </w:pPr>
      <w:r>
        <w:rPr>
          <w:rFonts w:ascii="仿宋_GB2312" w:hAnsi="仿宋_GB2312" w:eastAsia="仿宋_GB2312" w:cs="仿宋_GB2312"/>
          <w:color w:val="000000"/>
          <w:sz w:val="32"/>
        </w:rPr>
        <w:t>4.卫生健康支出（类)22.05万元，主要用于本单位在职在编人员医疗保险、工伤保险缴费。较2024年度决算数25.60万元，减少3.55万元，下降13.87%，主要原因是本单位本年度医保缴费追加经费减少。</w:t>
      </w:r>
    </w:p>
    <w:p w14:paraId="23E44B54">
      <w:pPr>
        <w:spacing w:line="560" w:lineRule="exact"/>
        <w:ind w:firstLine="640" w:firstLineChars="200"/>
        <w:jc w:val="both"/>
      </w:pPr>
      <w:r>
        <w:rPr>
          <w:rFonts w:ascii="仿宋_GB2312" w:hAnsi="仿宋_GB2312" w:eastAsia="仿宋_GB2312" w:cs="仿宋_GB2312"/>
          <w:color w:val="000000"/>
          <w:sz w:val="32"/>
        </w:rPr>
        <w:t>5.城乡社区支出（类)0万元，较2024年度决算数10.83万元，减少10.83万元，主要原因是上年度大型舞台剧设备租赁项目已结束，本年度无相关支出。</w:t>
      </w:r>
    </w:p>
    <w:p w14:paraId="794FE31B">
      <w:pPr>
        <w:spacing w:line="560" w:lineRule="exact"/>
        <w:ind w:firstLine="640" w:firstLineChars="200"/>
        <w:jc w:val="both"/>
      </w:pPr>
      <w:r>
        <w:rPr>
          <w:rFonts w:ascii="仿宋_GB2312" w:hAnsi="仿宋_GB2312" w:eastAsia="仿宋_GB2312" w:cs="仿宋_GB2312"/>
          <w:color w:val="000000"/>
          <w:sz w:val="32"/>
        </w:rPr>
        <w:t>6.住房保障支出（类)30.15万元，主要用于本单位在职在编人员住房公积金缴费。较2024年度决算数27.15万元，增加3.00万元，增长11.05%，主要原因是年中新增人员并追加相应经费。</w:t>
      </w:r>
    </w:p>
    <w:p w14:paraId="7C7A2457">
      <w:pPr>
        <w:spacing w:line="560" w:lineRule="exact"/>
        <w:ind w:firstLine="420" w:firstLineChars="200"/>
        <w:jc w:val="both"/>
      </w:pPr>
    </w:p>
    <w:p w14:paraId="618F47A0">
      <w:pPr>
        <w:spacing w:line="560" w:lineRule="exact"/>
        <w:ind w:firstLine="640" w:firstLineChars="200"/>
        <w:jc w:val="left"/>
      </w:pPr>
      <w:r>
        <w:rPr>
          <w:rFonts w:ascii="黑体" w:hAnsi="黑体" w:eastAsia="黑体" w:cs="黑体"/>
          <w:color w:val="000000"/>
          <w:sz w:val="32"/>
        </w:rPr>
        <w:t>二、2025年度一般公共预算财政拨款支出决算情况</w:t>
      </w:r>
    </w:p>
    <w:p w14:paraId="5B651717">
      <w:pPr>
        <w:spacing w:line="560" w:lineRule="exact"/>
        <w:ind w:firstLine="640" w:firstLineChars="200"/>
        <w:jc w:val="both"/>
      </w:pPr>
      <w:r>
        <w:rPr>
          <w:rFonts w:ascii="仿宋_GB2312" w:hAnsi="仿宋_GB2312" w:eastAsia="仿宋_GB2312" w:cs="仿宋_GB2312"/>
          <w:color w:val="000000"/>
          <w:sz w:val="32"/>
        </w:rPr>
        <w:t>百色起义纪念馆2025年度一般公共预算财政拨款支出1,074.71万元，较2024年度决算数1,063.81万元，增加10.90万元，增长1.02%。其中：基本支出540.34万元，项目支出534.37万元。</w:t>
      </w:r>
    </w:p>
    <w:p w14:paraId="47A060FA">
      <w:pPr>
        <w:spacing w:line="560" w:lineRule="exact"/>
        <w:ind w:firstLine="640" w:firstLineChars="200"/>
        <w:jc w:val="both"/>
      </w:pPr>
      <w:r>
        <w:rPr>
          <w:rFonts w:ascii="仿宋_GB2312" w:hAnsi="仿宋_GB2312" w:eastAsia="仿宋_GB2312" w:cs="仿宋_GB2312"/>
          <w:color w:val="000000"/>
          <w:sz w:val="32"/>
        </w:rPr>
        <w:t>百色起义纪念馆2025年度一般公共预算财政拨款支出年初预算为447.43万元，支出决算为1,074.71万元，完成年初预算的240.20%。</w:t>
      </w:r>
    </w:p>
    <w:p w14:paraId="52A5C0A4">
      <w:pPr>
        <w:spacing w:line="560" w:lineRule="exact"/>
        <w:ind w:firstLine="640" w:firstLineChars="200"/>
        <w:jc w:val="both"/>
      </w:pPr>
      <w:r>
        <w:rPr>
          <w:rFonts w:ascii="仿宋_GB2312" w:hAnsi="仿宋_GB2312" w:eastAsia="仿宋_GB2312" w:cs="仿宋_GB2312"/>
          <w:color w:val="000000"/>
          <w:sz w:val="32"/>
        </w:rPr>
        <w:t>（一）文化旅游体育与传媒支出（类）年初预算为336.59万元，决算数为919.74万元。</w:t>
      </w:r>
    </w:p>
    <w:p w14:paraId="6767D189">
      <w:pPr>
        <w:spacing w:line="560" w:lineRule="exact"/>
        <w:ind w:firstLine="640" w:firstLineChars="200"/>
        <w:jc w:val="both"/>
      </w:pPr>
      <w:r>
        <w:rPr>
          <w:rFonts w:ascii="仿宋_GB2312" w:hAnsi="仿宋_GB2312" w:eastAsia="仿宋_GB2312" w:cs="仿宋_GB2312"/>
          <w:color w:val="000000"/>
          <w:sz w:val="32"/>
        </w:rPr>
        <w:t>1.文化旅游体育与传媒支出（类）文物（款）博物馆（项）年初预算为0万元，决算数为484.86万元，主要用于纪念馆运维及聘用人员工资和社保缴费，支出决算大于预算数的主要原因是上年度免开资金结转和年中追加免开资金。</w:t>
      </w:r>
    </w:p>
    <w:p w14:paraId="08B11796">
      <w:pPr>
        <w:spacing w:line="560" w:lineRule="exact"/>
        <w:ind w:firstLine="640" w:firstLineChars="200"/>
        <w:jc w:val="both"/>
      </w:pPr>
      <w:r>
        <w:rPr>
          <w:rFonts w:ascii="仿宋_GB2312" w:hAnsi="仿宋_GB2312" w:eastAsia="仿宋_GB2312" w:cs="仿宋_GB2312"/>
          <w:color w:val="000000"/>
          <w:sz w:val="32"/>
        </w:rPr>
        <w:t>2.文化旅游体育与传媒支出（类）文物（款）其他文物支出（项）年初预算为336.59万元，决算数为434.88万元，完成预算的129.20%，主要用于人员工资和纪念馆运维，支出决算大于预算数的主要原因是年中新增人员并追加相应经费。</w:t>
      </w:r>
    </w:p>
    <w:p w14:paraId="4F596E1D">
      <w:pPr>
        <w:spacing w:line="560" w:lineRule="exact"/>
        <w:ind w:firstLine="640" w:firstLineChars="200"/>
        <w:jc w:val="both"/>
      </w:pPr>
      <w:r>
        <w:rPr>
          <w:rFonts w:ascii="仿宋_GB2312" w:hAnsi="仿宋_GB2312" w:eastAsia="仿宋_GB2312" w:cs="仿宋_GB2312"/>
          <w:color w:val="000000"/>
          <w:sz w:val="32"/>
        </w:rPr>
        <w:t>（二）社会保障和就业支出（类）年初预算为71.23万元，决算数为102.77万元。</w:t>
      </w:r>
    </w:p>
    <w:p w14:paraId="46BB6A4C">
      <w:pPr>
        <w:spacing w:line="560" w:lineRule="exact"/>
        <w:ind w:firstLine="640" w:firstLineChars="200"/>
        <w:jc w:val="both"/>
      </w:pPr>
      <w:r>
        <w:rPr>
          <w:rFonts w:ascii="仿宋_GB2312" w:hAnsi="仿宋_GB2312" w:eastAsia="仿宋_GB2312" w:cs="仿宋_GB2312"/>
          <w:color w:val="000000"/>
          <w:sz w:val="32"/>
        </w:rPr>
        <w:t>1.社会保障和就业支出（类）行政事业单位养老支出（款）事业单位离退休（项）年初预算为14.82万元，决算数为14.82万元，完成预算的100.00%，主要用于退休人员补贴。</w:t>
      </w:r>
    </w:p>
    <w:p w14:paraId="3423F097">
      <w:pPr>
        <w:spacing w:line="560" w:lineRule="exact"/>
        <w:ind w:firstLine="640" w:firstLineChars="200"/>
        <w:jc w:val="both"/>
      </w:pPr>
      <w:r>
        <w:rPr>
          <w:rFonts w:ascii="仿宋_GB2312" w:hAnsi="仿宋_GB2312" w:eastAsia="仿宋_GB2312" w:cs="仿宋_GB2312"/>
          <w:color w:val="000000"/>
          <w:sz w:val="32"/>
        </w:rPr>
        <w:t>2.社会保障和就业支出（类）行政事业单位养老支出（款）机关事业单位基本养老保险缴费支出（项）年初预算为37.61万元，决算数为47.48万元，完成预算的126.24%，主要用于在职人员养老保险缴纳，支出决算大于预算数的主要原因是年中新增人员并追加相应经费。</w:t>
      </w:r>
    </w:p>
    <w:p w14:paraId="2510B35E">
      <w:pPr>
        <w:spacing w:line="560" w:lineRule="exact"/>
        <w:ind w:firstLine="640" w:firstLineChars="200"/>
        <w:jc w:val="both"/>
      </w:pPr>
      <w:r>
        <w:rPr>
          <w:rFonts w:ascii="仿宋_GB2312" w:hAnsi="仿宋_GB2312" w:eastAsia="仿宋_GB2312" w:cs="仿宋_GB2312"/>
          <w:color w:val="000000"/>
          <w:sz w:val="32"/>
        </w:rPr>
        <w:t>3.社会保障和就业支出（类）行政事业单位养老支出（款）机关事业单位职业年金缴费支出（项）年初预算为18.81万元，决算数为34.86万元，完成预算的185.33%，主要用于在职人员职业年金缴纳，支出决算大于预算数的主要原因是年中新增人员并追加相应经费。</w:t>
      </w:r>
    </w:p>
    <w:p w14:paraId="4CBB74B6">
      <w:pPr>
        <w:spacing w:line="560" w:lineRule="exact"/>
        <w:ind w:firstLine="640" w:firstLineChars="200"/>
        <w:jc w:val="both"/>
      </w:pPr>
      <w:r>
        <w:rPr>
          <w:rFonts w:ascii="仿宋_GB2312" w:hAnsi="仿宋_GB2312" w:eastAsia="仿宋_GB2312" w:cs="仿宋_GB2312"/>
          <w:color w:val="000000"/>
          <w:sz w:val="32"/>
        </w:rPr>
        <w:t>4.社会保障和就业支出（类）其他社会保障和就业支出（款）其他社会保障和就业支出（项）年初预算为0万元，决算数为5.61万元，主要用于人员社保缴费支出，支出决算大于预算数的主要原因是年中新增人员并追加相应经费。</w:t>
      </w:r>
    </w:p>
    <w:p w14:paraId="734D4642">
      <w:pPr>
        <w:spacing w:line="560" w:lineRule="exact"/>
        <w:ind w:firstLine="640" w:firstLineChars="200"/>
        <w:jc w:val="both"/>
      </w:pPr>
      <w:r>
        <w:rPr>
          <w:rFonts w:ascii="仿宋_GB2312" w:hAnsi="仿宋_GB2312" w:eastAsia="仿宋_GB2312" w:cs="仿宋_GB2312"/>
          <w:color w:val="000000"/>
          <w:sz w:val="32"/>
        </w:rPr>
        <w:t>（三）卫生健康支出（类）年初预算为11.41万元，决算数为22.05万元。</w:t>
      </w:r>
    </w:p>
    <w:p w14:paraId="025CB287">
      <w:pPr>
        <w:spacing w:line="560" w:lineRule="exact"/>
        <w:ind w:firstLine="640" w:firstLineChars="200"/>
        <w:jc w:val="both"/>
      </w:pPr>
      <w:r>
        <w:rPr>
          <w:rFonts w:ascii="仿宋_GB2312" w:hAnsi="仿宋_GB2312" w:eastAsia="仿宋_GB2312" w:cs="仿宋_GB2312"/>
          <w:color w:val="000000"/>
          <w:sz w:val="32"/>
        </w:rPr>
        <w:t>1.卫生健康支出（类）行政事业单位医疗（款）事业单位医疗（项）年初预算为11.41万元，决算数为22.05万元，完成预算的193.25%，主要用于在职人员医疗保险缴纳，支出决算大于预算数的主要原因是年中新增人员并追加相应经费。</w:t>
      </w:r>
    </w:p>
    <w:p w14:paraId="69A04DA3">
      <w:pPr>
        <w:spacing w:line="560" w:lineRule="exact"/>
        <w:ind w:firstLine="640" w:firstLineChars="200"/>
        <w:jc w:val="both"/>
      </w:pPr>
      <w:r>
        <w:rPr>
          <w:rFonts w:ascii="仿宋_GB2312" w:hAnsi="仿宋_GB2312" w:eastAsia="仿宋_GB2312" w:cs="仿宋_GB2312"/>
          <w:color w:val="000000"/>
          <w:sz w:val="32"/>
        </w:rPr>
        <w:t>（四）住房保障支出（类）年初预算为28.21万元，决算数为30.15万元。</w:t>
      </w:r>
    </w:p>
    <w:p w14:paraId="6D0019F8">
      <w:pPr>
        <w:spacing w:line="560" w:lineRule="exact"/>
        <w:ind w:firstLine="640" w:firstLineChars="200"/>
        <w:jc w:val="both"/>
      </w:pPr>
      <w:r>
        <w:rPr>
          <w:rFonts w:ascii="仿宋_GB2312" w:hAnsi="仿宋_GB2312" w:eastAsia="仿宋_GB2312" w:cs="仿宋_GB2312"/>
          <w:color w:val="000000"/>
          <w:sz w:val="32"/>
        </w:rPr>
        <w:t>1.住房保障支出（类）住房改革支出（款）住房公积金（项）年初预算为28.21万元，决算数为30.15万元，完成预算的106.88%，主要用于在职人员住房公积金缴纳，支出决算大于预算数的主要原因是年中新增人员并追加相应经费。</w:t>
      </w:r>
    </w:p>
    <w:p w14:paraId="1BC2FA59">
      <w:pPr>
        <w:spacing w:line="560" w:lineRule="exact"/>
        <w:ind w:firstLine="420" w:firstLineChars="200"/>
        <w:jc w:val="both"/>
      </w:pPr>
    </w:p>
    <w:p w14:paraId="0CC0E8EC">
      <w:pPr>
        <w:spacing w:line="560" w:lineRule="exact"/>
        <w:ind w:firstLine="640" w:firstLineChars="200"/>
        <w:jc w:val="left"/>
      </w:pPr>
      <w:r>
        <w:rPr>
          <w:rFonts w:ascii="黑体" w:hAnsi="黑体" w:eastAsia="黑体" w:cs="黑体"/>
          <w:color w:val="000000"/>
          <w:sz w:val="32"/>
        </w:rPr>
        <w:t>三、2025年度一般公共预算财政拨款基本支出决算情况说明</w:t>
      </w:r>
    </w:p>
    <w:p w14:paraId="32CE36FB">
      <w:pPr>
        <w:spacing w:line="560" w:lineRule="exact"/>
        <w:ind w:firstLine="640" w:firstLineChars="200"/>
        <w:jc w:val="both"/>
      </w:pPr>
      <w:r>
        <w:rPr>
          <w:rFonts w:ascii="仿宋_GB2312" w:hAnsi="仿宋_GB2312" w:eastAsia="仿宋_GB2312" w:cs="仿宋_GB2312"/>
          <w:color w:val="000000"/>
          <w:sz w:val="32"/>
        </w:rPr>
        <w:t>2025年度一般公共预算财政拨款基本支出540.34万元，其中：人员经费517.74万元，公用经费22.60万元，支出具体情况如下：</w:t>
      </w:r>
    </w:p>
    <w:p w14:paraId="5E007CE0">
      <w:pPr>
        <w:spacing w:line="560" w:lineRule="exact"/>
        <w:ind w:firstLine="640" w:firstLineChars="200"/>
        <w:jc w:val="both"/>
      </w:pPr>
      <w:r>
        <w:rPr>
          <w:rFonts w:ascii="仿宋_GB2312" w:hAnsi="仿宋_GB2312" w:eastAsia="仿宋_GB2312" w:cs="仿宋_GB2312"/>
          <w:color w:val="000000"/>
          <w:sz w:val="32"/>
        </w:rPr>
        <w:t>（一）工资福利支出年初预算为366.72万元，决算数为503.12万元，完成年初预算的137.19%。主要用于人员工资支出。决算数大于预算数的主要原因是年中新增人员并追加相应经费。</w:t>
      </w:r>
    </w:p>
    <w:p w14:paraId="47BF1A71">
      <w:pPr>
        <w:spacing w:line="560" w:lineRule="exact"/>
        <w:ind w:firstLine="640" w:firstLineChars="200"/>
        <w:jc w:val="both"/>
      </w:pPr>
      <w:r>
        <w:rPr>
          <w:rFonts w:ascii="仿宋_GB2312" w:hAnsi="仿宋_GB2312" w:eastAsia="仿宋_GB2312" w:cs="仿宋_GB2312"/>
          <w:color w:val="000000"/>
          <w:sz w:val="32"/>
        </w:rPr>
        <w:t>（二）商品和服务支出年初预算为22.20万元，决算数为22.60万元，完成年初预算的101.80%。主要用于人员和日常运行各项开支。决算数大于预算数的主要原因是年中新增人员并追加相应经费。</w:t>
      </w:r>
    </w:p>
    <w:p w14:paraId="10DEFB1A">
      <w:pPr>
        <w:spacing w:line="560" w:lineRule="exact"/>
        <w:ind w:firstLine="640" w:firstLineChars="200"/>
        <w:jc w:val="both"/>
      </w:pPr>
      <w:r>
        <w:rPr>
          <w:rFonts w:ascii="仿宋_GB2312" w:hAnsi="仿宋_GB2312" w:eastAsia="仿宋_GB2312" w:cs="仿宋_GB2312"/>
          <w:color w:val="000000"/>
          <w:sz w:val="32"/>
        </w:rPr>
        <w:t>（三）对个人和家庭的补助年初预算为14.62万元，决算数为14.62万元，完成年初预算的100.00%。主要用于退休人员补贴。预决算数据持平，无差异。</w:t>
      </w:r>
    </w:p>
    <w:p w14:paraId="342CB949">
      <w:pPr>
        <w:spacing w:line="560" w:lineRule="exact"/>
        <w:ind w:firstLine="420" w:firstLineChars="200"/>
        <w:jc w:val="both"/>
      </w:pPr>
    </w:p>
    <w:p w14:paraId="015E0DE5">
      <w:pPr>
        <w:spacing w:line="560" w:lineRule="exact"/>
        <w:ind w:firstLine="640" w:firstLineChars="200"/>
        <w:jc w:val="left"/>
      </w:pPr>
      <w:r>
        <w:rPr>
          <w:rFonts w:ascii="黑体" w:hAnsi="黑体" w:eastAsia="黑体" w:cs="黑体"/>
          <w:color w:val="000000"/>
          <w:sz w:val="32"/>
        </w:rPr>
        <w:t>四、2025年度政府性基金支出决算情况</w:t>
      </w:r>
    </w:p>
    <w:p w14:paraId="69D11805">
      <w:pPr>
        <w:spacing w:line="560" w:lineRule="exact"/>
        <w:ind w:firstLine="640" w:firstLineChars="200"/>
        <w:jc w:val="both"/>
      </w:pPr>
      <w:r>
        <w:rPr>
          <w:rFonts w:ascii="仿宋_GB2312" w:hAnsi="仿宋_GB2312" w:eastAsia="仿宋_GB2312" w:cs="仿宋_GB2312"/>
          <w:color w:val="000000"/>
          <w:sz w:val="32"/>
        </w:rPr>
        <w:t>2025年度政府性基金支出0万元，较2024年度决算数10.83万元，减少10.83万元，主要原因是：本年度未安排政府性基金相关支出。其中：基本支出0万元，项目支出0万元。</w:t>
      </w:r>
    </w:p>
    <w:p w14:paraId="678BDC95">
      <w:pPr>
        <w:spacing w:line="560" w:lineRule="exact"/>
        <w:ind w:firstLine="640" w:firstLineChars="200"/>
        <w:jc w:val="both"/>
      </w:pPr>
      <w:r>
        <w:rPr>
          <w:rFonts w:ascii="仿宋_GB2312" w:hAnsi="仿宋_GB2312" w:eastAsia="仿宋_GB2312" w:cs="仿宋_GB2312"/>
          <w:color w:val="000000"/>
          <w:sz w:val="32"/>
        </w:rPr>
        <w:t>百色起义纪念馆2025年度政府性基金支出年初预算为0万元，支出决算为0万元。</w:t>
      </w:r>
    </w:p>
    <w:p w14:paraId="463EE1FB">
      <w:pPr>
        <w:spacing w:line="560" w:lineRule="exact"/>
        <w:ind w:firstLine="420" w:firstLineChars="200"/>
        <w:jc w:val="both"/>
      </w:pPr>
    </w:p>
    <w:p w14:paraId="10B08B18">
      <w:pPr>
        <w:spacing w:line="560" w:lineRule="exact"/>
        <w:ind w:firstLine="640" w:firstLineChars="200"/>
        <w:jc w:val="left"/>
      </w:pPr>
      <w:r>
        <w:rPr>
          <w:rFonts w:ascii="黑体" w:hAnsi="黑体" w:eastAsia="黑体" w:cs="黑体"/>
          <w:color w:val="000000"/>
          <w:sz w:val="32"/>
        </w:rPr>
        <w:t>五、2025年度国有资本经营预算支出决算情况</w:t>
      </w:r>
    </w:p>
    <w:p w14:paraId="729DA155">
      <w:pPr>
        <w:spacing w:line="560" w:lineRule="exact"/>
        <w:ind w:firstLine="640" w:firstLineChars="200"/>
        <w:jc w:val="both"/>
      </w:pPr>
      <w:r>
        <w:rPr>
          <w:rFonts w:ascii="仿宋_GB2312" w:hAnsi="仿宋_GB2312" w:eastAsia="仿宋_GB2312" w:cs="仿宋_GB2312"/>
          <w:color w:val="000000"/>
          <w:sz w:val="32"/>
        </w:rPr>
        <w:t>2025年度国有资本经营预算支出0万元，较2024年度决算数0万元，对比无数据差异。其中：基本支出0万元，项目支出0万元。</w:t>
      </w:r>
    </w:p>
    <w:p w14:paraId="73B6A280">
      <w:pPr>
        <w:spacing w:line="560" w:lineRule="exact"/>
        <w:ind w:firstLine="640" w:firstLineChars="200"/>
        <w:jc w:val="both"/>
      </w:pPr>
      <w:r>
        <w:rPr>
          <w:rFonts w:ascii="仿宋_GB2312" w:hAnsi="仿宋_GB2312" w:eastAsia="仿宋_GB2312" w:cs="仿宋_GB2312"/>
          <w:color w:val="000000"/>
          <w:sz w:val="32"/>
        </w:rPr>
        <w:t>2025年度国有资本经营预算支出年初预算为0万元，支出决算为0万元，预决算数据对比无差异。</w:t>
      </w:r>
    </w:p>
    <w:p w14:paraId="2AE963FA">
      <w:pPr>
        <w:spacing w:line="560" w:lineRule="exact"/>
        <w:ind w:firstLine="640" w:firstLineChars="200"/>
        <w:jc w:val="both"/>
      </w:pPr>
      <w:r>
        <w:rPr>
          <w:rFonts w:ascii="仿宋_GB2312" w:hAnsi="仿宋_GB2312" w:eastAsia="仿宋_GB2312" w:cs="仿宋_GB2312"/>
          <w:color w:val="000000"/>
          <w:sz w:val="32"/>
        </w:rPr>
        <w:t>百色起义纪念馆2025年度没有国有资本经营预算财政拨款收入，也没有国有资本经营预算财政拨款安排的支出，故无数据情况说明。</w:t>
      </w:r>
    </w:p>
    <w:p w14:paraId="6A1EEF28">
      <w:pPr>
        <w:spacing w:line="560" w:lineRule="exact"/>
        <w:ind w:firstLine="640" w:firstLineChars="200"/>
        <w:jc w:val="left"/>
      </w:pPr>
      <w:r>
        <w:rPr>
          <w:rFonts w:ascii="黑体" w:hAnsi="黑体" w:eastAsia="黑体" w:cs="黑体"/>
          <w:color w:val="000000"/>
          <w:sz w:val="32"/>
        </w:rPr>
        <w:t>六、财政拨款安排的“三公”经费支出决算情况说明</w:t>
      </w:r>
    </w:p>
    <w:p w14:paraId="272D640A">
      <w:pPr>
        <w:spacing w:line="560" w:lineRule="exact"/>
        <w:ind w:firstLine="640" w:firstLineChars="200"/>
        <w:jc w:val="both"/>
      </w:pPr>
      <w:r>
        <w:rPr>
          <w:rFonts w:ascii="仿宋_GB2312" w:hAnsi="仿宋_GB2312" w:eastAsia="仿宋_GB2312" w:cs="仿宋_GB2312"/>
          <w:color w:val="000000"/>
          <w:sz w:val="32"/>
        </w:rPr>
        <w:t>2025年度财政拨款安排的“三公”经费支出决算数0万元，年初预算数0万元，较2024决算数0万元，增加0万元，</w:t>
      </w:r>
    </w:p>
    <w:p w14:paraId="318CEF48">
      <w:pPr>
        <w:spacing w:line="560" w:lineRule="exact"/>
        <w:ind w:firstLine="640" w:firstLineChars="200"/>
        <w:jc w:val="both"/>
      </w:pPr>
      <w:r>
        <w:rPr>
          <w:rFonts w:ascii="仿宋_GB2312" w:hAnsi="仿宋_GB2312" w:eastAsia="仿宋_GB2312" w:cs="仿宋_GB2312"/>
          <w:color w:val="000000"/>
          <w:sz w:val="32"/>
        </w:rPr>
        <w:t>其中：因公出国（境）费支出决算0万元，公务用车购置及运行维护支出决算数0万元，公务接待支出决算0万元。</w:t>
      </w:r>
    </w:p>
    <w:p w14:paraId="04F37E48">
      <w:pPr>
        <w:spacing w:line="560" w:lineRule="exact"/>
        <w:ind w:firstLine="640" w:firstLineChars="200"/>
        <w:jc w:val="both"/>
      </w:pPr>
      <w:r>
        <w:rPr>
          <w:rFonts w:ascii="仿宋_GB2312" w:hAnsi="仿宋_GB2312" w:eastAsia="仿宋_GB2312" w:cs="仿宋_GB2312"/>
          <w:color w:val="000000"/>
          <w:sz w:val="32"/>
        </w:rPr>
        <w:t>具体情况如下：</w:t>
      </w:r>
    </w:p>
    <w:p w14:paraId="4666FA0E">
      <w:pPr>
        <w:spacing w:line="560" w:lineRule="exact"/>
        <w:ind w:firstLine="640" w:firstLineChars="200"/>
        <w:jc w:val="both"/>
      </w:pPr>
      <w:r>
        <w:rPr>
          <w:rFonts w:ascii="仿宋_GB2312" w:hAnsi="仿宋_GB2312" w:eastAsia="仿宋_GB2312" w:cs="仿宋_GB2312"/>
          <w:color w:val="000000"/>
          <w:sz w:val="32"/>
        </w:rPr>
        <w:t>（一）因公出国（境）费支出决算0万元，年初预算为0万元，较2024年度增加0万元；全年使用财政拨款安排百色起义纪念馆出国团组0个，累计0人次。</w:t>
      </w:r>
    </w:p>
    <w:p w14:paraId="77E76C27">
      <w:pPr>
        <w:spacing w:line="560" w:lineRule="exact"/>
        <w:ind w:firstLine="640" w:firstLineChars="200"/>
        <w:jc w:val="both"/>
      </w:pPr>
      <w:r>
        <w:rPr>
          <w:rFonts w:ascii="仿宋_GB2312" w:hAnsi="仿宋_GB2312" w:eastAsia="仿宋_GB2312" w:cs="仿宋_GB2312"/>
          <w:color w:val="000000"/>
          <w:sz w:val="32"/>
        </w:rPr>
        <w:t>（二）公务用车购置及运行维护费支出0万元。其中：</w:t>
      </w:r>
    </w:p>
    <w:p w14:paraId="76512A32">
      <w:pPr>
        <w:spacing w:line="560" w:lineRule="exact"/>
        <w:ind w:firstLine="640" w:firstLineChars="200"/>
        <w:jc w:val="both"/>
      </w:pPr>
      <w:r>
        <w:rPr>
          <w:rFonts w:ascii="仿宋_GB2312" w:hAnsi="仿宋_GB2312" w:eastAsia="仿宋_GB2312" w:cs="仿宋_GB2312"/>
          <w:color w:val="000000"/>
          <w:sz w:val="32"/>
        </w:rPr>
        <w:t>公务用车购置支出0万元，与年初预算对比无差异，与上年度决算数对比持平，无增减变化。百色起义纪念馆2025年度购置了0辆公务用车。</w:t>
      </w:r>
    </w:p>
    <w:p w14:paraId="01EB32C9">
      <w:pPr>
        <w:spacing w:line="560" w:lineRule="exact"/>
        <w:ind w:firstLine="640" w:firstLineChars="200"/>
        <w:jc w:val="both"/>
      </w:pPr>
      <w:r>
        <w:rPr>
          <w:rFonts w:ascii="仿宋_GB2312" w:hAnsi="仿宋_GB2312" w:eastAsia="仿宋_GB2312" w:cs="仿宋_GB2312"/>
          <w:color w:val="000000"/>
          <w:sz w:val="32"/>
        </w:rPr>
        <w:t>公务用车运行维护支出0万元，与年初预算对比无差异，与上年度决算数对比持平，无增减变化。</w:t>
      </w:r>
    </w:p>
    <w:p w14:paraId="428DA75C">
      <w:pPr>
        <w:spacing w:line="560" w:lineRule="exact"/>
        <w:ind w:firstLine="640" w:firstLineChars="200"/>
        <w:jc w:val="both"/>
      </w:pPr>
      <w:r>
        <w:rPr>
          <w:rFonts w:ascii="仿宋_GB2312" w:hAnsi="仿宋_GB2312" w:eastAsia="仿宋_GB2312" w:cs="仿宋_GB2312"/>
          <w:color w:val="000000"/>
          <w:sz w:val="32"/>
        </w:rPr>
        <w:t>2025年百色起义纪念馆开支财政拨款的公务用车保有量为0辆，全年运行维护支出0万元。</w:t>
      </w:r>
    </w:p>
    <w:p w14:paraId="51D369C6">
      <w:pPr>
        <w:spacing w:line="560" w:lineRule="exact"/>
        <w:ind w:firstLine="640" w:firstLineChars="200"/>
        <w:jc w:val="both"/>
      </w:pPr>
      <w:r>
        <w:rPr>
          <w:rFonts w:ascii="仿宋_GB2312" w:hAnsi="仿宋_GB2312" w:eastAsia="仿宋_GB2312" w:cs="仿宋_GB2312"/>
          <w:color w:val="000000"/>
          <w:sz w:val="32"/>
        </w:rPr>
        <w:t>（三）公务接待费支出0万元，年初预算为0万元，较2024年度决算数增加0万元，国内公务接待批次0次，0人次，国（境）外公务接待批次0次，0人次。</w:t>
      </w:r>
    </w:p>
    <w:p w14:paraId="4D571617">
      <w:pPr>
        <w:spacing w:line="560" w:lineRule="exact"/>
        <w:ind w:firstLine="640" w:firstLineChars="200"/>
        <w:jc w:val="left"/>
      </w:pPr>
      <w:r>
        <w:rPr>
          <w:rFonts w:ascii="黑体" w:hAnsi="黑体" w:eastAsia="黑体" w:cs="黑体"/>
          <w:color w:val="000000"/>
          <w:sz w:val="32"/>
        </w:rPr>
        <w:t>七、其他重要事项情况说明</w:t>
      </w:r>
    </w:p>
    <w:p w14:paraId="2D306995">
      <w:pPr>
        <w:spacing w:line="560" w:lineRule="exact"/>
        <w:ind w:firstLine="640" w:firstLineChars="200"/>
        <w:jc w:val="left"/>
      </w:pPr>
      <w:r>
        <w:rPr>
          <w:rFonts w:ascii="楷体" w:hAnsi="楷体" w:eastAsia="楷体" w:cs="楷体"/>
          <w:color w:val="000000"/>
          <w:sz w:val="32"/>
        </w:rPr>
        <w:t>（一）机关运行经费支出情况说明。</w:t>
      </w:r>
    </w:p>
    <w:p w14:paraId="430EDCAE">
      <w:pPr>
        <w:spacing w:line="560" w:lineRule="exact"/>
        <w:ind w:firstLine="640" w:firstLineChars="200"/>
        <w:jc w:val="both"/>
      </w:pPr>
      <w:r>
        <w:rPr>
          <w:rFonts w:ascii="仿宋_GB2312" w:hAnsi="仿宋_GB2312" w:eastAsia="仿宋_GB2312" w:cs="仿宋_GB2312"/>
          <w:color w:val="000000"/>
          <w:sz w:val="32"/>
        </w:rPr>
        <w:t>本部门为事业单位，无机关运行经费支出，故无相关数据情况说明。</w:t>
      </w:r>
    </w:p>
    <w:p w14:paraId="09217E13">
      <w:pPr>
        <w:spacing w:line="560" w:lineRule="exact"/>
        <w:ind w:firstLine="640" w:firstLineChars="200"/>
        <w:jc w:val="left"/>
      </w:pPr>
      <w:r>
        <w:rPr>
          <w:rFonts w:ascii="楷体" w:hAnsi="楷体" w:eastAsia="楷体" w:cs="楷体"/>
          <w:color w:val="000000"/>
          <w:sz w:val="32"/>
        </w:rPr>
        <w:t>（二）政府采购支出情况说明。</w:t>
      </w:r>
    </w:p>
    <w:p w14:paraId="4C59B83D">
      <w:pPr>
        <w:spacing w:line="560" w:lineRule="exact"/>
        <w:ind w:firstLine="640" w:firstLineChars="200"/>
        <w:jc w:val="both"/>
      </w:pPr>
      <w:r>
        <w:rPr>
          <w:rFonts w:ascii="仿宋_GB2312" w:hAnsi="仿宋_GB2312" w:eastAsia="仿宋_GB2312" w:cs="仿宋_GB2312"/>
          <w:color w:val="000000"/>
          <w:sz w:val="32"/>
        </w:rPr>
        <w:t>本部门2025年度政府采购支出总额6.21万元，其中：政府采购货物支出0.36万元、政府采购工程支出0万元、政府采购服务支出5.84万元。授予中小企业合同金额0万元，占政府采购支出总额的0.00%，其中：授予小微企业合同金额0万元，占授予中小企业合同金额的0.00%；货物采购授予中小企业合同金额占货物支出金额的0%；工程采购授予中小企业合同金额占工程支出金额的0%；服务采购授予中小企业合同金额占服务支出金额的100%。</w:t>
      </w:r>
    </w:p>
    <w:p w14:paraId="554FB0F1">
      <w:pPr>
        <w:spacing w:line="560" w:lineRule="exact"/>
        <w:ind w:firstLine="640" w:firstLineChars="200"/>
        <w:jc w:val="left"/>
      </w:pPr>
      <w:r>
        <w:rPr>
          <w:rFonts w:ascii="楷体" w:hAnsi="楷体" w:eastAsia="楷体" w:cs="楷体"/>
          <w:color w:val="000000"/>
          <w:sz w:val="32"/>
        </w:rPr>
        <w:t>（三）国有资产占用情况说明。</w:t>
      </w:r>
    </w:p>
    <w:p w14:paraId="2D2CC57C">
      <w:pPr>
        <w:spacing w:line="560" w:lineRule="exact"/>
        <w:ind w:firstLine="640" w:firstLineChars="200"/>
        <w:jc w:val="both"/>
      </w:pPr>
      <w:r>
        <w:rPr>
          <w:rFonts w:ascii="仿宋_GB2312" w:hAnsi="仿宋_GB2312" w:eastAsia="仿宋_GB2312" w:cs="仿宋_GB2312"/>
          <w:color w:val="000000"/>
          <w:sz w:val="32"/>
        </w:rPr>
        <w:t>截至2025年12月31日，本部门共有车辆0辆，其中：副部（省）级领导干部用车0辆、机要通信用车0辆、应急保障用车0辆、执法执勤用车0辆、特种专业技术用车0辆、其他用车0辆。单位价值100万元以上设备（不含车辆）6台（套）。</w:t>
      </w:r>
    </w:p>
    <w:p w14:paraId="609FD658">
      <w:pPr>
        <w:spacing w:line="560" w:lineRule="exact"/>
        <w:ind w:firstLine="420" w:firstLineChars="200"/>
        <w:jc w:val="both"/>
      </w:pPr>
    </w:p>
    <w:p w14:paraId="36844548">
      <w:pPr>
        <w:spacing w:line="560" w:lineRule="exact"/>
        <w:ind w:firstLine="640" w:firstLineChars="200"/>
        <w:jc w:val="left"/>
      </w:pPr>
      <w:r>
        <w:rPr>
          <w:rFonts w:ascii="黑体" w:hAnsi="黑体" w:eastAsia="黑体" w:cs="黑体"/>
          <w:color w:val="000000"/>
          <w:sz w:val="32"/>
        </w:rPr>
        <w:t>八、预算绩效管理工作开展情况。</w:t>
      </w:r>
    </w:p>
    <w:p w14:paraId="3FEA0D14">
      <w:pPr>
        <w:spacing w:line="560" w:lineRule="exact"/>
        <w:ind w:firstLine="640" w:firstLineChars="200"/>
        <w:jc w:val="both"/>
      </w:pPr>
      <w:r>
        <w:rPr>
          <w:rFonts w:ascii="仿宋_GB2312" w:hAnsi="仿宋_GB2312" w:eastAsia="仿宋_GB2312" w:cs="仿宋_GB2312"/>
          <w:color w:val="000000"/>
          <w:sz w:val="32"/>
        </w:rPr>
        <w:t>1.整体支出绩效自评结果。</w:t>
      </w:r>
    </w:p>
    <w:p w14:paraId="7D879473">
      <w:pPr>
        <w:spacing w:line="560" w:lineRule="exact"/>
        <w:ind w:firstLine="640" w:firstLineChars="200"/>
        <w:jc w:val="both"/>
      </w:pPr>
      <w:r>
        <w:rPr>
          <w:rFonts w:ascii="仿宋_GB2312" w:hAnsi="仿宋_GB2312" w:eastAsia="仿宋_GB2312" w:cs="仿宋_GB2312"/>
          <w:color w:val="000000"/>
          <w:sz w:val="32"/>
        </w:rPr>
        <w:t>我部门2025年度部门预算数447.43万元，执行数447.43万元，整体支出绩效自评结果为一等。从自评情况来看，能够按照年初的计划进行有效的支出，各项工作也能有序的开展，效果明显。</w:t>
      </w:r>
    </w:p>
    <w:p w14:paraId="4CD0C5B5">
      <w:pPr>
        <w:spacing w:line="560" w:lineRule="exact"/>
        <w:ind w:firstLine="640" w:firstLineChars="200"/>
        <w:jc w:val="both"/>
      </w:pPr>
      <w:r>
        <w:rPr>
          <w:rFonts w:ascii="仿宋_GB2312" w:hAnsi="仿宋_GB2312" w:eastAsia="仿宋_GB2312" w:cs="仿宋_GB2312"/>
          <w:color w:val="000000"/>
          <w:sz w:val="32"/>
        </w:rPr>
        <w:t>2.项目支出绩效自评结果。</w:t>
      </w:r>
    </w:p>
    <w:p w14:paraId="2ED4DAAA">
      <w:pPr>
        <w:spacing w:line="560" w:lineRule="exact"/>
        <w:ind w:firstLine="640" w:firstLineChars="200"/>
        <w:jc w:val="both"/>
      </w:pPr>
      <w:r>
        <w:rPr>
          <w:rFonts w:ascii="仿宋_GB2312" w:hAnsi="仿宋_GB2312" w:eastAsia="仿宋_GB2312" w:cs="仿宋_GB2312"/>
          <w:color w:val="000000"/>
          <w:sz w:val="32"/>
        </w:rPr>
        <w:t>（1）项目绩效自评总体情况：我部门2025年度项目8个，项目支出总额517.01万元。其中，本级项目6个，本级项目支出96.26万元。</w:t>
      </w:r>
    </w:p>
    <w:p w14:paraId="051CAC98">
      <w:pPr>
        <w:spacing w:line="560" w:lineRule="exact"/>
        <w:ind w:firstLine="640" w:firstLineChars="200"/>
        <w:jc w:val="both"/>
      </w:pPr>
      <w:r>
        <w:rPr>
          <w:rFonts w:ascii="仿宋_GB2312" w:hAnsi="仿宋_GB2312" w:eastAsia="仿宋_GB2312" w:cs="仿宋_GB2312"/>
          <w:color w:val="000000"/>
          <w:sz w:val="32"/>
        </w:rPr>
        <w:t>所有项目均开展了绩效自评，其中非敏感涉密项目绩效自评结果为：8个项目评为一等，涉及资金506.73万元，占项目总数比例98%；0个项目评为二等，涉及资金0万元，占项目总数比例0%；0个项目评为三等，涉及资金0万元，占项目总数比例0%；0个项目评为四等，涉及资金0万元，占项目总数比例0%。自评发现的主要问题及原因：无，下一步改进措施：无。</w:t>
      </w:r>
    </w:p>
    <w:p w14:paraId="4F204148">
      <w:pPr>
        <w:spacing w:line="560" w:lineRule="exact"/>
        <w:ind w:firstLine="640" w:firstLineChars="200"/>
        <w:jc w:val="both"/>
      </w:pPr>
      <w:r>
        <w:rPr>
          <w:rFonts w:ascii="仿宋_GB2312" w:hAnsi="仿宋_GB2312" w:eastAsia="仿宋_GB2312" w:cs="仿宋_GB2312"/>
          <w:color w:val="000000"/>
          <w:sz w:val="32"/>
        </w:rPr>
        <w:t>（2）部分重点项目绩效自评情况：根据年初设定的绩效目标，2025年纪念馆免费开放市本级配套资金项目自评得分为98分，一等，项目全年预算数为46.75万元，执行数为46.75万元，完成预算的100%。项目绩效目标完成情况：能够按照年初的计划进行有效的支出，各项工作也能有序的开展，效果明显。自评发现的主要问题及原因：无。下一步改进措施：无。</w:t>
      </w:r>
    </w:p>
    <w:p w14:paraId="4A3762AA">
      <w:pPr>
        <w:spacing w:line="560" w:lineRule="exact"/>
        <w:ind w:firstLine="640" w:firstLineChars="200"/>
        <w:jc w:val="both"/>
      </w:pPr>
      <w:r>
        <w:rPr>
          <w:rFonts w:ascii="仿宋_GB2312" w:hAnsi="仿宋_GB2312" w:eastAsia="仿宋_GB2312" w:cs="仿宋_GB2312"/>
          <w:color w:val="000000"/>
          <w:sz w:val="32"/>
        </w:rPr>
        <w:t>3.部门绩效评价结果。</w:t>
      </w:r>
    </w:p>
    <w:p w14:paraId="53DB9F1B">
      <w:pPr>
        <w:spacing w:line="560" w:lineRule="exact"/>
        <w:ind w:firstLine="640" w:firstLineChars="200"/>
        <w:jc w:val="both"/>
      </w:pPr>
      <w:r>
        <w:rPr>
          <w:rFonts w:ascii="仿宋_GB2312" w:hAnsi="仿宋_GB2312" w:eastAsia="仿宋_GB2312" w:cs="仿宋_GB2312"/>
          <w:color w:val="000000"/>
          <w:sz w:val="32"/>
        </w:rPr>
        <w:t>组织对“ 2025年纪念馆免费开放市本级配套资金”等8个重点项目进行了部门评价，评价结果为一等，涉及资金506.73万元。从评价情况来看，百色起义纪念馆能够很好的开展各项专项资金的使用工作，能取得很好的效果。</w:t>
      </w:r>
    </w:p>
    <w:p w14:paraId="1721D8C8">
      <w:pPr>
        <w:spacing w:line="560" w:lineRule="exact"/>
        <w:ind w:firstLine="640" w:firstLineChars="200"/>
        <w:jc w:val="both"/>
      </w:pPr>
      <w:r>
        <w:rPr>
          <w:rFonts w:ascii="仿宋_GB2312" w:hAnsi="仿宋_GB2312" w:eastAsia="仿宋_GB2312" w:cs="仿宋_GB2312"/>
          <w:color w:val="000000"/>
          <w:sz w:val="32"/>
        </w:rPr>
        <w:t>4.财政绩效评价结果。</w:t>
      </w:r>
    </w:p>
    <w:p w14:paraId="6A2AEA23">
      <w:pPr>
        <w:spacing w:line="560" w:lineRule="exact"/>
        <w:ind w:firstLine="640" w:firstLineChars="200"/>
        <w:jc w:val="both"/>
      </w:pPr>
      <w:r>
        <w:rPr>
          <w:rFonts w:ascii="仿宋_GB2312" w:hAnsi="仿宋_GB2312" w:eastAsia="仿宋_GB2312" w:cs="仿宋_GB2312"/>
          <w:color w:val="000000"/>
          <w:sz w:val="32"/>
        </w:rPr>
        <w:t>百色市财政局组织对“2025年纪念馆免费开放市本级配套资金 ”等8个项目开展了绩效评价，评价结果为一等，涉及资金506.73万元。从评价情况来看，百色起义纪念馆能够很好的开展各项专项资金的使用工作，能取得很好的效果 。</w:t>
      </w:r>
    </w:p>
    <w:p w14:paraId="4266A1CE">
      <w:pPr>
        <w:spacing w:line="560" w:lineRule="exact"/>
        <w:ind w:firstLine="640" w:firstLineChars="200"/>
        <w:jc w:val="both"/>
      </w:pPr>
      <w:r>
        <w:rPr>
          <w:rFonts w:ascii="仿宋_GB2312" w:hAnsi="仿宋_GB2312" w:eastAsia="仿宋_GB2312" w:cs="仿宋_GB2312"/>
          <w:color w:val="000000"/>
          <w:sz w:val="32"/>
        </w:rPr>
        <w:t>（说明：八、预算绩效管理工作开展情况，资金统计口径均为财政资金。）</w:t>
      </w:r>
    </w:p>
    <w:p w14:paraId="09916377">
      <w:pPr>
        <w:pageBreakBefore/>
        <w:spacing w:line="560" w:lineRule="exact"/>
        <w:jc w:val="center"/>
      </w:pPr>
      <w:r>
        <w:rPr>
          <w:rFonts w:ascii="黑体" w:hAnsi="黑体" w:eastAsia="黑体" w:cs="黑体"/>
          <w:b/>
          <w:color w:val="000000"/>
          <w:sz w:val="32"/>
        </w:rPr>
        <w:t>第四部分：名词解释</w:t>
      </w:r>
    </w:p>
    <w:p w14:paraId="2AAEF001">
      <w:pPr>
        <w:spacing w:line="560" w:lineRule="exact"/>
        <w:ind w:firstLine="640" w:firstLineChars="200"/>
      </w:pPr>
      <w:r>
        <w:rPr>
          <w:rFonts w:ascii="仿宋_GB2312" w:hAnsi="仿宋_GB2312" w:eastAsia="仿宋_GB2312" w:cs="仿宋_GB2312"/>
          <w:color w:val="000000"/>
          <w:sz w:val="32"/>
        </w:rPr>
        <w:t>一、财政拨款收入:指本年度从本级财政单位取得的财政拨款，包括一般公共预算财政拨款、政府性基金预算财政拨款和国有资本经营预算财政拨款。</w:t>
      </w:r>
    </w:p>
    <w:p w14:paraId="77F9925E">
      <w:pPr>
        <w:spacing w:line="560" w:lineRule="exact"/>
        <w:ind w:firstLine="640" w:firstLineChars="200"/>
      </w:pPr>
      <w:r>
        <w:rPr>
          <w:rFonts w:ascii="仿宋_GB2312" w:hAnsi="仿宋_GB2312" w:eastAsia="仿宋_GB2312" w:cs="仿宋_GB2312"/>
          <w:color w:val="000000"/>
          <w:sz w:val="32"/>
        </w:rPr>
        <w:t>二、上级补助收入:指事业单位从主管部门和上级单位取得的非财政补助收入。</w:t>
      </w:r>
    </w:p>
    <w:p w14:paraId="33B44CCB">
      <w:pPr>
        <w:spacing w:line="560" w:lineRule="exact"/>
        <w:ind w:firstLine="640" w:firstLineChars="200"/>
      </w:pPr>
      <w:r>
        <w:rPr>
          <w:rFonts w:ascii="仿宋_GB2312" w:hAnsi="仿宋_GB2312" w:eastAsia="仿宋_GB2312" w:cs="仿宋_GB2312"/>
          <w:color w:val="000000"/>
          <w:sz w:val="32"/>
        </w:rPr>
        <w:t>三、事业收入:指事业单位开展专业业务活动及辅助活动所取得的收入。</w:t>
      </w:r>
    </w:p>
    <w:p w14:paraId="075C2B21">
      <w:pPr>
        <w:spacing w:line="560" w:lineRule="exact"/>
        <w:ind w:firstLine="640" w:firstLineChars="200"/>
      </w:pPr>
      <w:r>
        <w:rPr>
          <w:rFonts w:ascii="仿宋_GB2312" w:hAnsi="仿宋_GB2312" w:eastAsia="仿宋_GB2312" w:cs="仿宋_GB2312"/>
          <w:color w:val="000000"/>
          <w:sz w:val="32"/>
        </w:rPr>
        <w:t>四、经营收入:指事业单位在专业业务活动及其辅助活动之外开展非独立核算经营活动取得的收入。</w:t>
      </w:r>
    </w:p>
    <w:p w14:paraId="5C73EC8E">
      <w:pPr>
        <w:spacing w:line="560" w:lineRule="exact"/>
        <w:ind w:firstLine="640" w:firstLineChars="200"/>
      </w:pPr>
      <w:r>
        <w:rPr>
          <w:rFonts w:ascii="仿宋_GB2312" w:hAnsi="仿宋_GB2312" w:eastAsia="仿宋_GB2312" w:cs="仿宋_GB2312"/>
          <w:color w:val="000000"/>
          <w:sz w:val="32"/>
        </w:rPr>
        <w:t>五、附属单位上缴收入:指事业单位附属独立核算单位按照有关规定上缴的收入。</w:t>
      </w:r>
    </w:p>
    <w:p w14:paraId="61B053DE">
      <w:pPr>
        <w:spacing w:line="560" w:lineRule="exact"/>
        <w:ind w:firstLine="640" w:firstLineChars="200"/>
      </w:pPr>
      <w:r>
        <w:rPr>
          <w:rFonts w:ascii="仿宋_GB2312" w:hAnsi="仿宋_GB2312" w:eastAsia="仿宋_GB2312" w:cs="仿宋_GB2312"/>
          <w:color w:val="000000"/>
          <w:sz w:val="32"/>
        </w:rPr>
        <w:t>六、其他收入:指除上述“财政拨款收入”、“事业收入”、“经营收入”等以外的收入。</w:t>
      </w:r>
    </w:p>
    <w:p w14:paraId="3FA56853">
      <w:pPr>
        <w:spacing w:line="560" w:lineRule="exact"/>
        <w:ind w:firstLine="640" w:firstLineChars="200"/>
      </w:pPr>
      <w:r>
        <w:rPr>
          <w:rFonts w:ascii="仿宋_GB2312" w:hAnsi="仿宋_GB2312" w:eastAsia="仿宋_GB2312" w:cs="仿宋_GB2312"/>
          <w:color w:val="000000"/>
          <w:sz w:val="32"/>
        </w:rPr>
        <w:t>七、使用非财政拨款结余（含专用结余）:指事业单位在当年的“财政拨款收入”“事业收入”“经营收入”“其他收入”不足以安排当年支出的情况下，使用非财政拨款结余、专用结余弥补本年度收支缺口的资金。</w:t>
      </w:r>
    </w:p>
    <w:p w14:paraId="5CBBF126">
      <w:pPr>
        <w:spacing w:line="560" w:lineRule="exact"/>
        <w:ind w:firstLine="640" w:firstLineChars="200"/>
      </w:pPr>
      <w:r>
        <w:rPr>
          <w:rFonts w:ascii="仿宋_GB2312" w:hAnsi="仿宋_GB2312" w:eastAsia="仿宋_GB2312" w:cs="仿宋_GB2312"/>
          <w:color w:val="000000"/>
          <w:sz w:val="32"/>
        </w:rPr>
        <w:t>八、年初结转和结余:指以前年度尚未完成、结转到本年按有关规定继续使用的资金。</w:t>
      </w:r>
    </w:p>
    <w:p w14:paraId="2970699C">
      <w:pPr>
        <w:spacing w:line="560" w:lineRule="exact"/>
        <w:ind w:firstLine="640" w:firstLineChars="200"/>
      </w:pPr>
      <w:r>
        <w:rPr>
          <w:rFonts w:ascii="仿宋_GB2312" w:hAnsi="仿宋_GB2312" w:eastAsia="仿宋_GB2312" w:cs="仿宋_GB2312"/>
          <w:color w:val="000000"/>
          <w:sz w:val="32"/>
        </w:rPr>
        <w:t>九、结余分配:指事业单位按规定提取的职工福利基金、事业基金和缴纳的所得税，以及建设单位按规定应交回的基本建设竣工项目结余资金。</w:t>
      </w:r>
    </w:p>
    <w:p w14:paraId="01E50C1B">
      <w:pPr>
        <w:spacing w:line="560" w:lineRule="exact"/>
        <w:ind w:firstLine="640" w:firstLineChars="200"/>
      </w:pPr>
      <w:r>
        <w:rPr>
          <w:rFonts w:ascii="仿宋_GB2312" w:hAnsi="仿宋_GB2312" w:eastAsia="仿宋_GB2312" w:cs="仿宋_GB2312"/>
          <w:color w:val="000000"/>
          <w:sz w:val="32"/>
        </w:rPr>
        <w:t>十、年末结转和结余:指本年度或以前年度预算安排、因客观条件发生变化无法按原计划实施，需要延迟到以后年度按有关规定继续使用的资金。</w:t>
      </w:r>
    </w:p>
    <w:p w14:paraId="24E7E3A0">
      <w:pPr>
        <w:spacing w:line="560" w:lineRule="exact"/>
        <w:ind w:firstLine="640" w:firstLineChars="200"/>
      </w:pPr>
      <w:r>
        <w:rPr>
          <w:rFonts w:ascii="仿宋_GB2312" w:hAnsi="仿宋_GB2312" w:eastAsia="仿宋_GB2312" w:cs="仿宋_GB2312"/>
          <w:color w:val="000000"/>
          <w:sz w:val="32"/>
        </w:rPr>
        <w:t>十一、基本支出:指为保障机构正常运转、完成日常工作任务而发生的人员支出和公用支出。</w:t>
      </w:r>
    </w:p>
    <w:p w14:paraId="44A96D00">
      <w:pPr>
        <w:spacing w:line="560" w:lineRule="exact"/>
        <w:ind w:firstLine="640" w:firstLineChars="200"/>
      </w:pPr>
      <w:r>
        <w:rPr>
          <w:rFonts w:ascii="仿宋_GB2312" w:hAnsi="仿宋_GB2312" w:eastAsia="仿宋_GB2312" w:cs="仿宋_GB2312"/>
          <w:color w:val="000000"/>
          <w:sz w:val="32"/>
        </w:rPr>
        <w:t>十二、项目支出:指在基本支出之外为完成特定行政任务和事业发展目标所发生的支出。</w:t>
      </w:r>
    </w:p>
    <w:p w14:paraId="5A394874">
      <w:pPr>
        <w:spacing w:line="560" w:lineRule="exact"/>
        <w:ind w:firstLine="640" w:firstLineChars="200"/>
      </w:pPr>
      <w:r>
        <w:rPr>
          <w:rFonts w:ascii="仿宋_GB2312" w:hAnsi="仿宋_GB2312" w:eastAsia="仿宋_GB2312" w:cs="仿宋_GB2312"/>
          <w:color w:val="000000"/>
          <w:sz w:val="32"/>
        </w:rPr>
        <w:t>十三、经营支出:指事业单位在专业业务活动及其辅助活动之外开展非独立核算经营活动所发生的支出。</w:t>
      </w:r>
    </w:p>
    <w:p w14:paraId="4688F160">
      <w:pPr>
        <w:spacing w:line="560" w:lineRule="exact"/>
        <w:ind w:firstLine="640" w:firstLineChars="200"/>
      </w:pPr>
      <w:r>
        <w:rPr>
          <w:rFonts w:ascii="仿宋_GB2312" w:hAnsi="仿宋_GB2312" w:eastAsia="仿宋_GB2312" w:cs="仿宋_GB2312"/>
          <w:color w:val="000000"/>
          <w:sz w:val="32"/>
        </w:rPr>
        <w:t>十四、“三公”经费:按照党中央、国务院有关文件及部门预算管理有关规定，“三公”经费包括因公出国（境）费、公务用车购置及运行维护费和公务接待费。（1）因公出国（境）费，指单位工作人员公务出国（境）的住宿费、旅费、伙食补助费、杂费、培训费等支出。（2）公务用车购置及运行维护费，指单位公务用车购置费（含车辆购置税）及租用费、燃料费、维修费、过路过桥费、保险费等支出。（3）公务接待费，指单位按规定开支的各类公务接待（含外宾接待）支出。</w:t>
      </w:r>
    </w:p>
    <w:p w14:paraId="158FB735">
      <w:pPr>
        <w:spacing w:line="560" w:lineRule="exact"/>
        <w:ind w:firstLine="640" w:firstLineChars="200"/>
      </w:pPr>
      <w:r>
        <w:rPr>
          <w:rFonts w:ascii="仿宋_GB2312" w:hAnsi="仿宋_GB2312" w:eastAsia="仿宋_GB2312" w:cs="仿宋_GB2312"/>
          <w:color w:val="000000"/>
          <w:sz w:val="32"/>
        </w:rPr>
        <w:t>十五、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sectPr>
      <w:headerReference r:id="rId3" w:type="default"/>
      <w:footerReference r:id="rId5" w:type="default"/>
      <w:headerReference r:id="rId4" w:type="even"/>
      <w:footerReference r:id="rId6" w:type="even"/>
      <w:pgSz w:w="11906" w:h="16838"/>
      <w:pgMar w:top="1441" w:right="1799" w:bottom="1441" w:left="1799"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EEC68">
    <w:pPr>
      <w:ind w:rightChars="100"/>
      <w:jc w:val="right"/>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PAGE</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0ECEF">
    <w:pPr>
      <w:ind w:leftChars="100"/>
      <w:jc w:val="left"/>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1246A">
    <w:pPr>
      <w:spacing w:after="0" w:line="1"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2D76E">
    <w:pPr>
      <w:spacing w:after="0" w:line="1"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compat>
    <w:useFELayout/>
    <w:splitPgBreakAndParaMark/>
    <w:compatSetting w:name="compatibilityMode" w:uri="http://schemas.microsoft.com/office/word" w:val="12"/>
  </w:compat>
  <w:rsids>
    <w:rsidRoot w:val="00000000"/>
    <w:rsid w:val="08702591"/>
    <w:rsid w:val="119A21A4"/>
    <w:rsid w:val="61D269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color w:val="000000"/>
      <w:sz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标题1"/>
    <w:basedOn w:val="5"/>
    <w:uiPriority w:val="0"/>
    <w:pPr>
      <w:spacing w:line="360" w:lineRule="auto"/>
      <w:jc w:val="center"/>
    </w:pPr>
    <w:rPr>
      <w:rFonts w:ascii="宋体" w:hAnsi="宋体" w:eastAsia="宋体" w:cs="宋体"/>
      <w:b/>
      <w:sz w:val="32"/>
    </w:rPr>
  </w:style>
  <w:style w:type="paragraph" w:customStyle="1" w:styleId="5">
    <w:name w:val="正文1"/>
    <w:qFormat/>
    <w:uiPriority w:val="0"/>
    <w:pPr>
      <w:spacing w:line="240" w:lineRule="auto"/>
    </w:pPr>
    <w:rPr>
      <w:rFonts w:ascii="宋体" w:hAnsi="宋体" w:eastAsia="宋体" w:cs="宋体"/>
      <w:color w:val="000000"/>
      <w:sz w:val="21"/>
    </w:rPr>
  </w:style>
  <w:style w:type="paragraph" w:customStyle="1" w:styleId="6">
    <w:name w:val="标题 11"/>
    <w:basedOn w:val="5"/>
    <w:qFormat/>
    <w:uiPriority w:val="0"/>
    <w:pPr>
      <w:spacing w:line="280" w:lineRule="auto"/>
    </w:pPr>
    <w:rPr>
      <w:rFonts w:ascii="宋体" w:hAnsi="宋体" w:eastAsia="宋体" w:cs="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6358</Words>
  <Characters>7090</Characters>
  <TotalTime>23</TotalTime>
  <ScaleCrop>false</ScaleCrop>
  <LinksUpToDate>false</LinksUpToDate>
  <CharactersWithSpaces>7097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2024-01-01T00:00:00Z</dcterms:created>
  <dc:creator>Joyn Open</dc:creator>
  <cp:lastModifiedBy>韦妮娜</cp:lastModifiedBy>
  <dcterms:modified xsi:type="dcterms:W3CDTF">2026-09-30T03:03:36Z</dcterms:modified>
  <dc:title>百色起义纪念馆2025决算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eyJoZGlkIjoiMTMwZjc3NDQ2MGRhYjdkYWVhM2RlMGZhYzYxY2I0NGIiLCJ1c2VySWQiOiIxMjE3NDE4MDAzIn0=</vt:lpwstr>
  </property>
  <property fmtid="{D5CDD505-2E9C-101B-9397-08002B2CF9AE}" pid="3" name="KSOProductBuildVer">
    <vt:lpwstr>2052-12.1.0.28505</vt:lpwstr>
  </property>
  <property fmtid="{D5CDD505-2E9C-101B-9397-08002B2CF9AE}" pid="4" name="ICV">
    <vt:lpwstr>A7BC884B1549433AACE5497D2E99392F_12</vt:lpwstr>
  </property>
</Properties>
</file>